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Stickstoff-Saldo und Düngeverordnung — Aufzeichnungsmängel und Rechtslage</w:t>
      </w:r>
    </w:p>
    <w:p>
      <w:pPr>
        <w:jc w:val="left"/>
      </w:pPr>
      <w:r>
        <w:rPr>
          <w:b/>
        </w:rPr>
        <w:t>Akte:</w:t>
      </w:r>
      <w:r>
        <w:t xml:space="preserve"> VG Düsseldorf 19 K 4441/26</w:t>
      </w:r>
    </w:p>
    <w:p>
      <w:pPr>
        <w:jc w:val="left"/>
      </w:pPr>
      <w:r>
        <w:rPr>
          <w:b/>
        </w:rPr>
        <w:t>Dokument-Nr.:</w:t>
      </w:r>
      <w:r>
        <w:t xml:space="preserve"> 05</w:t>
      </w:r>
    </w:p>
    <w:p>
      <w:pPr>
        <w:jc w:val="left"/>
      </w:pPr>
      <w:r>
        <w:rPr>
          <w:b/>
        </w:rPr>
        <w:t>Erstellt:</w:t>
      </w:r>
      <w:r>
        <w:t xml:space="preserve"> März 2026</w:t>
      </w:r>
    </w:p>
    <w:p/>
    <w:p>
      <w:pPr>
        <w:pStyle w:val="Heading2"/>
      </w:pPr>
      <w:r>
        <w:rPr>
          <w:rFonts w:ascii="Times New Roman" w:hAnsi="Times New Roman"/>
        </w:rPr>
        <w:t>1. Rechtlicher Rahmen: Düngeverordnung 2017</w:t>
      </w:r>
    </w:p>
    <w:p>
      <w:pPr>
        <w:jc w:val="left"/>
      </w:pPr>
      <w:r>
        <w:t xml:space="preserve">Die </w:t>
      </w:r>
      <w:r>
        <w:rPr>
          <w:b/>
        </w:rPr>
        <w:t>Düngeverordnung (DüV)</w:t>
      </w:r>
      <w:r>
        <w:t xml:space="preserve"> i.d.F. vom 28. April 2017 (BGBl. I S. 1002, zuletzt geändert durch die 1. ÄndVO vom 03.11.2020) verpflichtet alle Betriebe mit mehr als 15 ha LF oder mehr als 50 GV Viehhaltung zu einem jährlichen </w:t>
      </w:r>
      <w:r>
        <w:rPr>
          <w:b/>
        </w:rPr>
        <w:t>betrieblichen Nährstoffvergleich</w:t>
      </w:r>
      <w:r>
        <w:t xml:space="preserve"> (§ 7 DüV). Dieser Nährstoffvergleich muss für Stickstoff (N) und Phosphat (P₂O₅) erstellt werden und ist mindestens </w:t>
      </w:r>
      <w:r>
        <w:rPr>
          <w:b/>
        </w:rPr>
        <w:t>7 Jahre aufzubewahren</w:t>
      </w:r>
      <w:r>
        <w:t xml:space="preserve"> (§ 12 Abs. 1 DüV).</w:t>
      </w:r>
    </w:p>
    <w:p>
      <w:pPr>
        <w:pStyle w:val="Heading3"/>
      </w:pPr>
      <w:r>
        <w:rPr>
          <w:rFonts w:ascii="Times New Roman" w:hAnsi="Times New Roman"/>
        </w:rPr>
        <w:t>Inhalt des Nährstoffvergleichs (§ 7 DüV)</w:t>
      </w:r>
    </w:p>
    <w:p>
      <w:pPr>
        <w:jc w:val="left"/>
      </w:pPr>
      <w:r>
        <w:t>Der Nährstoffvergleich muss folgende Angaben enthalten:</w:t>
      </w:r>
    </w:p>
    <w:p>
      <w:pPr>
        <w:jc w:val="left"/>
      </w:pPr>
      <w:r>
        <w:t>a) die durch Düngung zugeführten Nährstoffmengen (Mineral- und Wirtschaftsdünger, Komposte, Gärreste);</w:t>
      </w:r>
    </w:p>
    <w:p>
      <w:pPr>
        <w:jc w:val="left"/>
      </w:pPr>
      <w:r>
        <w:t>b) die durch Ernte abgeführten Nährstoffmengen (Erntehauptprodukte und Nebenprodukte);</w:t>
      </w:r>
    </w:p>
    <w:p>
      <w:pPr>
        <w:jc w:val="left"/>
      </w:pPr>
      <w:r>
        <w:t>c) weitere Zu- und Abfuhren (z.B. Futtermengen bei Viehhaltung);</w:t>
      </w:r>
    </w:p>
    <w:p>
      <w:pPr>
        <w:jc w:val="left"/>
      </w:pPr>
      <w:r>
        <w:t>d) den Saldo als Differenz zwischen Zufuhr und Abfuhr.</w:t>
      </w:r>
    </w:p>
    <w:p>
      <w:pPr>
        <w:jc w:val="left"/>
      </w:pPr>
      <w:r>
        <w:t xml:space="preserve">Für Stickstoff gilt ein zulässiger Saldo-Überschuss von maximal </w:t>
      </w:r>
      <w:r>
        <w:rPr>
          <w:b/>
        </w:rPr>
        <w:t>50 kg N/ha/Jahr</w:t>
      </w:r>
      <w:r>
        <w:t xml:space="preserve"> im Dreijahresmittel (§ 7 Abs. 3 DüV).</w:t>
      </w:r>
    </w:p>
    <w:p>
      <w:pPr>
        <w:pStyle w:val="Heading3"/>
      </w:pPr>
      <w:r>
        <w:rPr>
          <w:rFonts w:ascii="Times New Roman" w:hAnsi="Times New Roman"/>
        </w:rPr>
        <w:t>Schlagkarteiführung</w:t>
      </w:r>
    </w:p>
    <w:p>
      <w:pPr>
        <w:jc w:val="left"/>
      </w:pPr>
      <w:r>
        <w:t>Nach § 3 Abs. 4 InVeKoSV ist für jeden Schlag eine Schlagkartei zu führen, die Angaben zu Kulturart, Sorte, Aussaattermin, Düngungs- und Pflanzenschutzmaßnahmen enthält. Die DüV ergänzt dies um detaillierte Düngeangaben: Zeitpunkt der Düngung, Düngemittelart, -menge und Nährstoffgehalt (§ 3 Abs. 4 DüV).</w:t>
      </w:r>
    </w:p>
    <w:p/>
    <w:p>
      <w:pPr>
        <w:pStyle w:val="Heading2"/>
      </w:pPr>
      <w:r>
        <w:rPr>
          <w:rFonts w:ascii="Times New Roman" w:hAnsi="Times New Roman"/>
        </w:rPr>
        <w:t>2. Konkrete Beanstandungen und Gegenargument</w:t>
      </w:r>
    </w:p>
    <w:p>
      <w:pPr>
        <w:pStyle w:val="Heading3"/>
      </w:pPr>
      <w:r>
        <w:rPr>
          <w:rFonts w:ascii="Times New Roman" w:hAnsi="Times New Roman"/>
        </w:rPr>
        <w:t>Beanstandung der Kontrolleure</w:t>
      </w:r>
    </w:p>
    <w:p>
      <w:pPr>
        <w:jc w:val="left"/>
      </w:pPr>
      <w:r>
        <w:t xml:space="preserve">Die Prüfer rügten für die Zwiebelflächen (Schläge 21a, 21b, 22; insgesamt 18,4 ha) das Fehlen von Düngeaufzeichnungen für den Zeitraum April–Juli 2023. In diesem Zeitraum wurden ausweislich der Lieferscheine Biogasgärreste der </w:t>
      </w:r>
      <w:r>
        <w:rPr>
          <w:b/>
        </w:rPr>
        <w:t>Biogasanlage Kevelaer GmbH</w:t>
      </w:r>
      <w:r>
        <w:t xml:space="preserve"> (Lieferscheine Nr. BK-2023-0441 bis BK-2023-0487, Gesamtmenge 342 t Gärrest) auf den Zwiebelflächen ausgebracht.</w:t>
      </w:r>
    </w:p>
    <w:p>
      <w:pPr>
        <w:pStyle w:val="Heading3"/>
      </w:pPr>
      <w:r>
        <w:rPr>
          <w:rFonts w:ascii="Times New Roman" w:hAnsi="Times New Roman"/>
        </w:rPr>
        <w:t>Erklärung der Mandantin</w:t>
      </w:r>
    </w:p>
    <w:p>
      <w:pPr>
        <w:jc w:val="left"/>
      </w:pPr>
      <w:r>
        <w:t xml:space="preserve">Almut Driessen erklärt, die Gärrest-Ausbringungsprotokolle seien in einem gesonderten </w:t>
      </w:r>
      <w:r>
        <w:rPr>
          <w:b/>
        </w:rPr>
        <w:t>Ordner „Nährstoffbilanz 2023"</w:t>
      </w:r>
      <w:r>
        <w:t xml:space="preserve"> abgeheftet gewesen, der sich zum Kontrollzeitpunkt in der Steuerberaterkanzlei Schulze &amp; Partner, Wesel, zur Vorbereitung des Jahresabschlusses befunden habe. Inzwischen ist der Ordner zurückgegeben worden.</w:t>
      </w:r>
    </w:p>
    <w:p>
      <w:pPr>
        <w:jc w:val="left"/>
      </w:pPr>
      <w:r>
        <w:rPr>
          <w:b/>
        </w:rPr>
        <w:t>Nachgereichte Unterlagen (vorhanden):</w:t>
      </w:r>
    </w:p>
    <w:p>
      <w:pPr>
        <w:pStyle w:val="ListBullet"/>
      </w:pPr>
      <w:r>
        <w:t>Lieferscheine Biogasgärreste BK-2023-0441 bis BK-2023-0487 (Kopien)</w:t>
      </w:r>
    </w:p>
    <w:p>
      <w:pPr>
        <w:pStyle w:val="ListBullet"/>
      </w:pPr>
      <w:r>
        <w:t>Ausbringungsprotokolle mit GPS-Dokumentation (Datei GPX-2023-0503 bis GPX-2023-0517, ausgedruckt)</w:t>
      </w:r>
    </w:p>
    <w:p>
      <w:pPr>
        <w:pStyle w:val="ListBullet"/>
      </w:pPr>
      <w:r>
        <w:t>Analysezertifikat Gärrest-Charge BK-2023, Nährstoffgehalt: 3,8 kg N/t, 1,2 kg P₂O₅/t</w:t>
      </w:r>
    </w:p>
    <w:p>
      <w:pPr>
        <w:pStyle w:val="ListBullet"/>
      </w:pPr>
      <w:r>
        <w:t>Jährlicher Nährstoffvergleich 2022/2023 (erstellt von Landwirtschaftskammer-Berater H. Weckwerth, Wesel, Datum 18.01.2024)</w:t>
      </w:r>
    </w:p>
    <w:p>
      <w:pPr>
        <w:pStyle w:val="Heading3"/>
      </w:pPr>
      <w:r>
        <w:rPr>
          <w:rFonts w:ascii="Times New Roman" w:hAnsi="Times New Roman"/>
        </w:rPr>
        <w:t>Rechtliche Bewertung: Nachholung der Aufzeichnung</w:t>
      </w:r>
    </w:p>
    <w:p>
      <w:pPr>
        <w:jc w:val="left"/>
      </w:pPr>
      <w:r>
        <w:t>Nach der Rechtsprechung des OVG NRW (OVG NRW, Urt. v. 22.09.2015 — 20 A 2006/13) sind nachgereichte Aufzeichnungen bei fehlenden Unterlagen im Kontrollzeitpunkt grundsätzlich zu berücksichtigen, soweit die Belege die tatsächlichen Vorgänge zutreffend wiedergeben. Es genügt nicht, die Aufzeichnungen allein aus dem fehlenden Vorhandensein beim Kontrollbesuch als nicht existent zu werten.</w:t>
      </w:r>
    </w:p>
    <w:p>
      <w:pPr>
        <w:jc w:val="left"/>
      </w:pPr>
      <w:r>
        <w:t xml:space="preserve">Ferner ist zu beachten: Nach § 3 Abs. 4 Satz 3 InVeKoSV müssen Schlagkarteiaufzeichnungen </w:t>
      </w:r>
      <w:r>
        <w:rPr>
          <w:b/>
        </w:rPr>
        <w:t>spätestens 7 Tage nach der jeweiligen Maßnahme</w:t>
      </w:r>
      <w:r>
        <w:t xml:space="preserve"> nachgetragen sein. Die BLE-Prüfer stellten zum Kontrolltermin am 11.11.2025 fest, dass die Aufzeichnungen fehlten — jedoch handelte es sich um Aufzeichnungen des Jahres 2023, die bei ordnungsgemäßer Führung im November 2025 bereits in der Aufbewahrung sein sollten. Ein Verstoß gegen die 7-Tage-Frist lässt sich aus dem Fehlen im November 2025 nicht ableiten; die Unterlagen befanden sich lediglich anderweitig aufbewahrt.</w:t>
      </w:r>
    </w:p>
    <w:p/>
    <w:p>
      <w:pPr>
        <w:pStyle w:val="Heading2"/>
      </w:pPr>
      <w:r>
        <w:rPr>
          <w:rFonts w:ascii="Times New Roman" w:hAnsi="Times New Roman"/>
        </w:rPr>
        <w:t>3. Tatsächlicher Stickstoff-Saldo des Betriebs</w:t>
      </w:r>
    </w:p>
    <w:p>
      <w:pPr>
        <w:pStyle w:val="Heading3"/>
      </w:pPr>
      <w:r>
        <w:rPr>
          <w:rFonts w:ascii="Times New Roman" w:hAnsi="Times New Roman"/>
        </w:rPr>
        <w:t>Berechnung für Wirtschaftsjahr 2022/2023</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Stickstoff-Position</w:t>
            </w:r>
          </w:p>
        </w:tc>
        <w:tc>
          <w:tcPr>
            <w:tcW w:type="dxa" w:w="4536"/>
          </w:tcPr>
          <w:p>
            <w:r>
              <w:rPr>
                <w:rFonts w:ascii="Times New Roman" w:hAnsi="Times New Roman"/>
                <w:b/>
                <w:sz w:val="20"/>
              </w:rPr>
              <w:t>Menge (kg N)</w:t>
            </w:r>
          </w:p>
        </w:tc>
      </w:tr>
      <w:tr>
        <w:tc>
          <w:tcPr>
            <w:tcW w:type="dxa" w:w="4536"/>
          </w:tcPr>
          <w:p>
            <w:r>
              <w:rPr>
                <w:rFonts w:ascii="Times New Roman" w:hAnsi="Times New Roman"/>
                <w:sz w:val="20"/>
              </w:rPr>
              <w:t>Mineralischer Dünger (Gesamtbetrieb)</w:t>
            </w:r>
          </w:p>
        </w:tc>
        <w:tc>
          <w:tcPr>
            <w:tcW w:type="dxa" w:w="4536"/>
          </w:tcPr>
          <w:p>
            <w:r>
              <w:rPr>
                <w:rFonts w:ascii="Times New Roman" w:hAnsi="Times New Roman"/>
                <w:sz w:val="20"/>
              </w:rPr>
              <w:t>0 (Ökobetrieb, nicht eingesetzt)</w:t>
            </w:r>
          </w:p>
        </w:tc>
      </w:tr>
      <w:tr>
        <w:tc>
          <w:tcPr>
            <w:tcW w:type="dxa" w:w="4536"/>
          </w:tcPr>
          <w:p>
            <w:r>
              <w:rPr>
                <w:rFonts w:ascii="Times New Roman" w:hAnsi="Times New Roman"/>
                <w:sz w:val="20"/>
              </w:rPr>
              <w:t>Wirtschaftsdünger tierisch (Galloway)</w:t>
            </w:r>
          </w:p>
        </w:tc>
        <w:tc>
          <w:tcPr>
            <w:tcW w:type="dxa" w:w="4536"/>
          </w:tcPr>
          <w:p>
            <w:r>
              <w:rPr>
                <w:rFonts w:ascii="Times New Roman" w:hAnsi="Times New Roman"/>
                <w:sz w:val="20"/>
              </w:rPr>
              <w:t>18.420</w:t>
            </w:r>
          </w:p>
        </w:tc>
      </w:tr>
      <w:tr>
        <w:tc>
          <w:tcPr>
            <w:tcW w:type="dxa" w:w="4536"/>
          </w:tcPr>
          <w:p>
            <w:r>
              <w:rPr>
                <w:rFonts w:ascii="Times New Roman" w:hAnsi="Times New Roman"/>
                <w:sz w:val="20"/>
              </w:rPr>
              <w:t>Gärreste (Biogasgärreste Kevelaer GmbH)</w:t>
            </w:r>
          </w:p>
        </w:tc>
        <w:tc>
          <w:tcPr>
            <w:tcW w:type="dxa" w:w="4536"/>
          </w:tcPr>
          <w:p>
            <w:r>
              <w:rPr>
                <w:rFonts w:ascii="Times New Roman" w:hAnsi="Times New Roman"/>
                <w:sz w:val="20"/>
              </w:rPr>
              <w:t>11.800</w:t>
            </w:r>
          </w:p>
        </w:tc>
      </w:tr>
      <w:tr>
        <w:tc>
          <w:tcPr>
            <w:tcW w:type="dxa" w:w="4536"/>
          </w:tcPr>
          <w:p>
            <w:r>
              <w:rPr>
                <w:rFonts w:ascii="Times New Roman" w:hAnsi="Times New Roman"/>
                <w:sz w:val="20"/>
              </w:rPr>
              <w:t>Leguminosen-Fixierung (Erbsen, Bohnen 28,6 ha)</w:t>
            </w:r>
          </w:p>
        </w:tc>
        <w:tc>
          <w:tcPr>
            <w:tcW w:type="dxa" w:w="4536"/>
          </w:tcPr>
          <w:p>
            <w:r>
              <w:rPr>
                <w:rFonts w:ascii="Times New Roman" w:hAnsi="Times New Roman"/>
                <w:sz w:val="20"/>
              </w:rPr>
              <w:t>64.350</w:t>
            </w:r>
          </w:p>
        </w:tc>
      </w:tr>
      <w:tr>
        <w:tc>
          <w:tcPr>
            <w:tcW w:type="dxa" w:w="4536"/>
          </w:tcPr>
          <w:p>
            <w:r>
              <w:rPr>
                <w:rFonts w:ascii="Times New Roman" w:hAnsi="Times New Roman"/>
                <w:sz w:val="20"/>
              </w:rPr>
              <w:t>Gesamtzufuhr N</w:t>
            </w:r>
          </w:p>
        </w:tc>
        <w:tc>
          <w:tcPr>
            <w:tcW w:type="dxa" w:w="4536"/>
          </w:tcPr>
          <w:p>
            <w:r>
              <w:rPr>
                <w:rFonts w:ascii="Times New Roman" w:hAnsi="Times New Roman"/>
                <w:sz w:val="20"/>
              </w:rPr>
              <w:t>94.570</w:t>
            </w:r>
          </w:p>
        </w:tc>
      </w:tr>
      <w:tr>
        <w:tc>
          <w:tcPr>
            <w:tcW w:type="dxa" w:w="4536"/>
          </w:tcPr>
          <w:p>
            <w:r>
              <w:rPr>
                <w:rFonts w:ascii="Times New Roman" w:hAnsi="Times New Roman"/>
                <w:sz w:val="20"/>
              </w:rPr>
              <w:t>Abfuhr durch Ernte (alle Kulturen)</w:t>
            </w:r>
          </w:p>
        </w:tc>
        <w:tc>
          <w:tcPr>
            <w:tcW w:type="dxa" w:w="4536"/>
          </w:tcPr>
          <w:p>
            <w:r>
              <w:rPr>
                <w:rFonts w:ascii="Times New Roman" w:hAnsi="Times New Roman"/>
                <w:sz w:val="20"/>
              </w:rPr>
              <w:t>78.890</w:t>
            </w:r>
          </w:p>
        </w:tc>
      </w:tr>
      <w:tr>
        <w:tc>
          <w:tcPr>
            <w:tcW w:type="dxa" w:w="4536"/>
          </w:tcPr>
          <w:p>
            <w:r>
              <w:rPr>
                <w:rFonts w:ascii="Times New Roman" w:hAnsi="Times New Roman"/>
                <w:b/>
                <w:sz w:val="20"/>
              </w:rPr>
              <w:t>Saldo N (Überschuss)</w:t>
            </w:r>
          </w:p>
        </w:tc>
        <w:tc>
          <w:tcPr>
            <w:tcW w:type="dxa" w:w="4536"/>
          </w:tcPr>
          <w:p>
            <w:r>
              <w:rPr>
                <w:rFonts w:ascii="Times New Roman" w:hAnsi="Times New Roman"/>
                <w:b/>
                <w:sz w:val="20"/>
              </w:rPr>
              <w:t>15.680</w:t>
            </w:r>
          </w:p>
        </w:tc>
      </w:tr>
      <w:tr>
        <w:tc>
          <w:tcPr>
            <w:tcW w:type="dxa" w:w="4536"/>
          </w:tcPr>
          <w:p>
            <w:r>
              <w:rPr>
                <w:rFonts w:ascii="Times New Roman" w:hAnsi="Times New Roman"/>
                <w:sz w:val="20"/>
              </w:rPr>
              <w:t>Saldo N pro ha (380 ha)</w:t>
            </w:r>
          </w:p>
        </w:tc>
        <w:tc>
          <w:tcPr>
            <w:tcW w:type="dxa" w:w="4536"/>
          </w:tcPr>
          <w:p>
            <w:r>
              <w:rPr>
                <w:rFonts w:ascii="Times New Roman" w:hAnsi="Times New Roman"/>
                <w:b/>
                <w:sz w:val="20"/>
              </w:rPr>
              <w:t>41,3 kg N/ha</w:t>
            </w:r>
          </w:p>
        </w:tc>
      </w:tr>
    </w:tbl>
    <w:p>
      <w:pPr>
        <w:jc w:val="left"/>
      </w:pPr>
      <w:r>
        <w:t xml:space="preserve">Der Saldo von 41,3 kg N/ha/Jahr liegt </w:t>
      </w:r>
      <w:r>
        <w:rPr>
          <w:b/>
        </w:rPr>
        <w:t>unterhalb</w:t>
      </w:r>
      <w:r>
        <w:t xml:space="preserve"> des Grenzwerts von 50 kg N/ha/Jahr nach § 7 Abs. 3 DüV. Eine materiell-rechtliche Überschreitung der Düngeobergrenzen liegt daher nicht vor; die Beanstandung betrifft ausschließlich die formelle Aufzeichnung, nicht den sachlichen Inhalt der Düngung.</w:t>
      </w:r>
    </w:p>
    <w:p/>
    <w:p>
      <w:pPr>
        <w:pStyle w:val="Heading2"/>
      </w:pPr>
      <w:r>
        <w:rPr>
          <w:rFonts w:ascii="Times New Roman" w:hAnsi="Times New Roman"/>
        </w:rPr>
        <w:t>4. Cross-Compliance-Kürzung: Höhe und Anfechtung</w:t>
      </w:r>
    </w:p>
    <w:p>
      <w:pPr>
        <w:pStyle w:val="Heading3"/>
      </w:pPr>
      <w:r>
        <w:rPr>
          <w:rFonts w:ascii="Times New Roman" w:hAnsi="Times New Roman"/>
        </w:rPr>
        <w:t>Kürzungsautomatik</w:t>
      </w:r>
    </w:p>
    <w:p>
      <w:pPr>
        <w:jc w:val="left"/>
      </w:pPr>
      <w:r>
        <w:t>Art. 91 ff. VO (EU) 1306/2013 i.V.m. § 2 der Direktzahlungen-Durchführungsverordnung (DZDV) sehen bei Cross-Compliance-Verstößen folgende Kürzungssätze vor: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Verstoßstufe</w:t>
            </w:r>
          </w:p>
        </w:tc>
        <w:tc>
          <w:tcPr>
            <w:tcW w:type="dxa" w:w="4536"/>
          </w:tcPr>
          <w:p>
            <w:r>
              <w:rPr>
                <w:rFonts w:ascii="Times New Roman" w:hAnsi="Times New Roman"/>
                <w:b/>
                <w:sz w:val="20"/>
              </w:rPr>
              <w:t>Kürzung</w:t>
            </w:r>
          </w:p>
        </w:tc>
      </w:tr>
      <w:tr>
        <w:tc>
          <w:tcPr>
            <w:tcW w:type="dxa" w:w="4536"/>
          </w:tcPr>
          <w:p>
            <w:r>
              <w:rPr>
                <w:rFonts w:ascii="Times New Roman" w:hAnsi="Times New Roman"/>
                <w:sz w:val="20"/>
              </w:rPr>
              <w:t>Fahrlässigkeit, erstmalig</w:t>
            </w:r>
          </w:p>
        </w:tc>
        <w:tc>
          <w:tcPr>
            <w:tcW w:type="dxa" w:w="4536"/>
          </w:tcPr>
          <w:p>
            <w:r>
              <w:rPr>
                <w:rFonts w:ascii="Times New Roman" w:hAnsi="Times New Roman"/>
                <w:sz w:val="20"/>
              </w:rPr>
              <w:t>3 %</w:t>
            </w:r>
          </w:p>
        </w:tc>
      </w:tr>
      <w:tr>
        <w:tc>
          <w:tcPr>
            <w:tcW w:type="dxa" w:w="4536"/>
          </w:tcPr>
          <w:p>
            <w:r>
              <w:rPr>
                <w:rFonts w:ascii="Times New Roman" w:hAnsi="Times New Roman"/>
                <w:sz w:val="20"/>
              </w:rPr>
              <w:t>Fahrlässigkeit, wiederholt (innerhalb 3 Jahren)</w:t>
            </w:r>
          </w:p>
        </w:tc>
        <w:tc>
          <w:tcPr>
            <w:tcW w:type="dxa" w:w="4536"/>
          </w:tcPr>
          <w:p>
            <w:r>
              <w:rPr>
                <w:rFonts w:ascii="Times New Roman" w:hAnsi="Times New Roman"/>
                <w:sz w:val="20"/>
              </w:rPr>
              <w:t>9 %</w:t>
            </w:r>
          </w:p>
        </w:tc>
      </w:tr>
      <w:tr>
        <w:tc>
          <w:tcPr>
            <w:tcW w:type="dxa" w:w="4536"/>
          </w:tcPr>
          <w:p>
            <w:r>
              <w:rPr>
                <w:rFonts w:ascii="Times New Roman" w:hAnsi="Times New Roman"/>
                <w:sz w:val="20"/>
              </w:rPr>
              <w:t>Vorsatz</w:t>
            </w:r>
          </w:p>
        </w:tc>
        <w:tc>
          <w:tcPr>
            <w:tcW w:type="dxa" w:w="4536"/>
          </w:tcPr>
          <w:p>
            <w:r>
              <w:rPr>
                <w:rFonts w:ascii="Times New Roman" w:hAnsi="Times New Roman"/>
                <w:sz w:val="20"/>
              </w:rPr>
              <w:t>20 % bis 100 %</w:t>
            </w:r>
          </w:p>
        </w:tc>
      </w:tr>
    </w:tbl>
    <w:p>
      <w:pPr>
        <w:jc w:val="left"/>
      </w:pPr>
      <w:r>
        <w:t>Die LWK-NRW hat eine Kürzung von 5 % der Direktzahlungen angesetzt (weder klar als Fahrlässigkeit noch als Wiederholung begründet). Dies ist zu rügen: Der erste Kontrollbericht, der Aufzeichnungsmängel für diesen Betrieb feststellte, ist VOK-NRW-2025-1198 (erstmalig). Die Kürzung hätte daher maximal 3 % betragen dürfen.</w:t>
      </w:r>
    </w:p>
    <w:p>
      <w:pPr>
        <w:pStyle w:val="Heading3"/>
      </w:pPr>
      <w:r>
        <w:rPr>
          <w:rFonts w:ascii="Times New Roman" w:hAnsi="Times New Roman"/>
        </w:rPr>
        <w:t>Empfehlung</w:t>
      </w:r>
    </w:p>
    <w:p>
      <w:pPr>
        <w:jc w:val="left"/>
      </w:pPr>
      <w:r>
        <w:t>Beantragung der Herabsetzung der Cross-Compliance-Kürzung von 5 % auf 3 % unter Hinweis auf den erstmaligen Verstoß und die fehlende Wiederholungssituation. Gleichzeitig Vorlage der nachgereichten Aufzeichnungen als Anlage K 7 im VG-Verfahren.</w:t>
      </w:r>
    </w:p>
    <w:p>
      <w:pPr>
        <w:jc w:val="left"/>
      </w:pPr>
      <w:r>
        <w:rPr>
          <w:i/>
        </w:rPr>
        <w:t>Rechtsquellen: § 7 DüV; § 3 Abs. 4 InVeKoSV; Art. 91 ff. VO (EU) 1306/2013; OVG NRW 20 A 2006/13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