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Drift-Schaden Nachbar Bremm — Klage LG Kleve 6 O 188/26</w:t>
      </w:r>
    </w:p>
    <w:p>
      <w:pPr>
        <w:jc w:val="left"/>
      </w:pPr>
      <w:r>
        <w:rPr>
          <w:b/>
        </w:rPr>
        <w:t>Akte:</w:t>
      </w:r>
      <w:r>
        <w:t xml:space="preserve"> LG Kleve 6 O 188/26</w:t>
      </w:r>
    </w:p>
    <w:p>
      <w:pPr>
        <w:jc w:val="left"/>
      </w:pPr>
      <w:r>
        <w:rPr>
          <w:b/>
        </w:rPr>
        <w:t>Dokument-Nr.:</w:t>
      </w:r>
      <w:r>
        <w:t xml:space="preserve"> 06</w:t>
      </w:r>
    </w:p>
    <w:p>
      <w:pPr>
        <w:jc w:val="left"/>
      </w:pPr>
      <w:r>
        <w:rPr>
          <w:b/>
        </w:rPr>
        <w:t>Erstellt:</w:t>
      </w:r>
      <w:r>
        <w:t xml:space="preserve"> März 2026</w:t>
      </w:r>
    </w:p>
    <w:p/>
    <w:p>
      <w:pPr>
        <w:pStyle w:val="Heading2"/>
      </w:pPr>
      <w:r>
        <w:rPr>
          <w:rFonts w:ascii="Times New Roman" w:hAnsi="Times New Roman"/>
        </w:rPr>
        <w:t>1. Sachverhalt</w:t>
      </w:r>
    </w:p>
    <w:p>
      <w:pPr>
        <w:jc w:val="left"/>
      </w:pPr>
      <w:r>
        <w:t xml:space="preserve">Am </w:t>
      </w:r>
      <w:r>
        <w:rPr>
          <w:b/>
        </w:rPr>
        <w:t>22. Mai 2025</w:t>
      </w:r>
      <w:r>
        <w:t xml:space="preserve"> führte die Hofgemeinschaft Driessen auf ihren Kartoffelflächen (Schläge 4a, 4b, 5a; insgesamt ca. 32 ha) eine Pflanzenschutzmaßnahme gegen den Kartoffelkäfer (Leptinotarsa decemlineata) durch. Eingesetzt wurde das zugelassene Bio-Insektizid </w:t>
      </w:r>
      <w:r>
        <w:rPr>
          <w:b/>
        </w:rPr>
        <w:t>NOVODOR® FC</w:t>
      </w:r>
      <w:r>
        <w:t xml:space="preserve"> (Wirkstoff: Bacillus thuringiensis subsp. tenebrionis, Zulassungsnummer: 007534-00/00, Zulassungsinhaber: Valent BioSciences LLC). Die Ausbringung erfolgte mit einem Feldspritzengerät Amazone UX 5200 Super (Auslegerbreite 28 m), gefahren von Arbeitnehmer Wojciech Kaminski.</w:t>
      </w:r>
    </w:p>
    <w:p>
      <w:pPr>
        <w:jc w:val="left"/>
      </w:pPr>
      <w:r>
        <w:t>Nachbar Klaus-Peter Bremm bewirtschaftet angrenzend die Schläge „Hauptstraße-Süd" (konventionell, insgesamt ca. 8,4 ha Maisfläche, Hybridsorte KWS YUKON). Bremm klagt, auf diesen Flächen seien nach dem 22. Mai 2025 erhebliche Blattschäden an den jungen Maispflanzen (Auflaufstadium BBCH 12–13) aufgetreten. Er behauptet, die Schäden seien durch Abdrift des Bt-Spritzmittels von den Driessen'schen Kartoffelflächen verursacht worden.</w:t>
      </w:r>
    </w:p>
    <w:p>
      <w:pPr>
        <w:jc w:val="left"/>
      </w:pPr>
      <w:r>
        <w:rPr>
          <w:b/>
        </w:rPr>
        <w:t>Schadensersatzforderung Bremm:</w:t>
      </w:r>
      <w:r>
        <w:t xml:space="preserve"> 28.400 EUR (entgangener Gewinn Maiserlös 8,4 ha bei Ernteausfall 30 %, Schadensschätzung durch Agrarbüro Koppermann, Emmerich).</w:t>
      </w:r>
    </w:p>
    <w:p/>
    <w:p>
      <w:pPr>
        <w:pStyle w:val="Heading2"/>
      </w:pPr>
      <w:r>
        <w:rPr>
          <w:rFonts w:ascii="Times New Roman" w:hAnsi="Times New Roman"/>
        </w:rPr>
        <w:t>2. Klage Bremm — wesentliche Angriffspunkte</w:t>
      </w:r>
    </w:p>
    <w:p>
      <w:pPr>
        <w:jc w:val="left"/>
      </w:pPr>
      <w:r>
        <w:t>Bremm stützt die Klage auf:</w:t>
      </w:r>
    </w:p>
    <w:p>
      <w:pPr>
        <w:pStyle w:val="ListBullet"/>
      </w:pPr>
      <w:r>
        <w:t>§ 823 Abs. 1 BGB (Eigentumsverletzung durch Abdrift)</w:t>
      </w:r>
    </w:p>
    <w:p>
      <w:pPr>
        <w:pStyle w:val="ListBullet"/>
      </w:pPr>
      <w:r>
        <w:t>§ 906 BGB (Immissionen auf Nachbargrundstück)</w:t>
      </w:r>
    </w:p>
    <w:p>
      <w:pPr>
        <w:pStyle w:val="ListBullet"/>
      </w:pPr>
      <w:r>
        <w:t>§ 16 Abs. 1 Pflanzenschutzgesetz (PflSchG) i.V.m. der Pflanzenschutz-Anwendungsverordnung (PflSchAnwV): Pflicht zur Vermeidung von Abdrift</w:t>
      </w:r>
    </w:p>
    <w:p>
      <w:pPr>
        <w:jc w:val="left"/>
      </w:pPr>
      <w:r>
        <w:t>Bremm trägt vor:</w:t>
      </w:r>
    </w:p>
    <w:p>
      <w:pPr>
        <w:pStyle w:val="ListBullet"/>
      </w:pPr>
      <w:r>
        <w:t>An dem Spritztag (22. Mai 2025) herrschte Windstärke 4 nach Beaufort (Windgeschwindigkeit ca. 6–7 m/s), Windrichtung Südost (also in Richtung Maisfläche Bremm);</w:t>
      </w:r>
    </w:p>
    <w:p>
      <w:pPr>
        <w:pStyle w:val="ListBullet"/>
      </w:pPr>
      <w:r>
        <w:t>Die Mindestabstandsauflage des Mittels NOVODOR® FC beträgt lt. Zulassung 10 m zu angrenzenden Fremdflächen, wenn die Windgeschwindigkeit über 3 m/s beträgt; diese sei nicht eingehalten worden;</w:t>
      </w:r>
    </w:p>
    <w:p>
      <w:pPr>
        <w:pStyle w:val="ListBullet"/>
      </w:pPr>
      <w:r>
        <w:t>Ein Pflanzenschutzberater der Landwirtschaftskammer habe die Schäden am 26. Mai 2025 begutachtet und der Abdrift zugeschrieben.</w:t>
      </w:r>
    </w:p>
    <w:p/>
    <w:p>
      <w:pPr>
        <w:pStyle w:val="Heading2"/>
      </w:pPr>
      <w:r>
        <w:rPr>
          <w:rFonts w:ascii="Times New Roman" w:hAnsi="Times New Roman"/>
        </w:rPr>
        <w:t>3. Sachverhalt aus Sicht der Beklagten (Driessen)</w:t>
      </w:r>
    </w:p>
    <w:p>
      <w:pPr>
        <w:pStyle w:val="Heading3"/>
      </w:pPr>
      <w:r>
        <w:rPr>
          <w:rFonts w:ascii="Times New Roman" w:hAnsi="Times New Roman"/>
        </w:rPr>
        <w:t>3.1 Windmessprotokoll</w:t>
      </w:r>
    </w:p>
    <w:p>
      <w:pPr>
        <w:jc w:val="left"/>
      </w:pPr>
      <w:r>
        <w:t>Der Befähigungszeugnis-Inhaber und Anwender Wojciech Kaminski hat ein Windmessprotokoll für den 22. Mai 2025 geführt (Gerät: Windmesser Kestrel 3000, Messung alle 30 Minuten). Das Protokoll weist für den Zeitraum 06:30–10:00 Uhr (Spritzzeit) Windgeschwindigkeiten zwischen 1,2 m/s und 2,8 m/s aus, Windrichtung Nord-Nordwest. Dies widerspricht den Angaben Bremms erheblich.</w:t>
      </w:r>
    </w:p>
    <w:p>
      <w:pPr>
        <w:pStyle w:val="Heading3"/>
      </w:pPr>
      <w:r>
        <w:rPr>
          <w:rFonts w:ascii="Times New Roman" w:hAnsi="Times New Roman"/>
        </w:rPr>
        <w:t>3.2 DWD-Wetterdaten</w:t>
      </w:r>
    </w:p>
    <w:p>
      <w:pPr>
        <w:jc w:val="left"/>
      </w:pPr>
      <w:r>
        <w:t>Die Daten der nächstgelegenen DWD-Messstation (Wesel, Station-ID 5064) für den 22.05.2025 (Tagesmittel) zeigen eine Windgeschwindigkeit von 3,1 m/s, jedoch sind Tagesmittelwerte für spezifische Spritzzeiträume wenig aussagekräftig. Anzufordern: Stundenwerte der DWD-Station Wesel für den 22.05.2025 zwischen 06:00 und 11:00 Uhr.</w:t>
      </w:r>
    </w:p>
    <w:p>
      <w:pPr>
        <w:pStyle w:val="Heading3"/>
      </w:pPr>
      <w:r>
        <w:rPr>
          <w:rFonts w:ascii="Times New Roman" w:hAnsi="Times New Roman"/>
        </w:rPr>
        <w:t>3.3 Biologie: Schäden durch Bt nicht plausibel</w:t>
      </w:r>
    </w:p>
    <w:p>
      <w:pPr>
        <w:jc w:val="left"/>
      </w:pPr>
      <w:r>
        <w:rPr>
          <w:b/>
        </w:rPr>
        <w:t>Entscheidendes Argument:</w:t>
      </w:r>
      <w:r>
        <w:t xml:space="preserve"> Bacillus thuringiensis subsp. tenebrionis (Btt) ist ein </w:t>
      </w:r>
      <w:r>
        <w:rPr>
          <w:b/>
        </w:rPr>
        <w:t>spezifischer</w:t>
      </w:r>
      <w:r>
        <w:t xml:space="preserve"> Erreger, der ausschließlich Larven von Käfern aus der Familie Chrysomelidae (insbesondere Kartoffelkäfer) schädigt. Maispflanzen sind keine Schadorganismus-Wirte von Btt und haben keine Bt-Rezeptoren für das Btt-Toxin. In der wissenschaftlichen Literatur (European Food Safety Authority, EFSA Journal 2012/10/2897) sind keine Phytotoxizitäts-Wirkungen von Btt auf Maispflanzen dokumentiert.</w:t>
      </w:r>
    </w:p>
    <w:p>
      <w:pPr>
        <w:jc w:val="left"/>
      </w:pPr>
      <w:r>
        <w:t>Die vom LWK-Berater beschriebenen „Blattschäden" könnten daher auf andere Ursachen zurückzuführen sein: herbizidbedingte Verfärbungen (Bremm setzt Herbizide in seiner Maiskultur ein), Kälteeinwirkung (Nachtfrost am 20./21. Mai 2025, DWD-Daten: Wesel, -1,2 °C), oder Schäden durch Beizstaubabtrag.</w:t>
      </w:r>
    </w:p>
    <w:p>
      <w:pPr>
        <w:pStyle w:val="Heading3"/>
      </w:pPr>
      <w:r>
        <w:rPr>
          <w:rFonts w:ascii="Times New Roman" w:hAnsi="Times New Roman"/>
        </w:rPr>
        <w:t>3.4 Fehlender Kausalnachweis</w:t>
      </w:r>
    </w:p>
    <w:p>
      <w:pPr>
        <w:jc w:val="left"/>
      </w:pPr>
      <w:r>
        <w:t>Bremm hat kein unabhängiges Gutachten zur Schadensursache vorgelegt. Der LWK-Berater ist kein gerichtlich bestellter Sachverständiger; sein Gutachten hat keine Beweiskraft nach § 402 ZPO.</w:t>
      </w:r>
    </w:p>
    <w:p/>
    <w:p>
      <w:pPr>
        <w:pStyle w:val="Heading2"/>
      </w:pPr>
      <w:r>
        <w:rPr>
          <w:rFonts w:ascii="Times New Roman" w:hAnsi="Times New Roman"/>
        </w:rPr>
        <w:t>4. Rechtliche Analyse</w:t>
      </w:r>
    </w:p>
    <w:p>
      <w:pPr>
        <w:pStyle w:val="Heading3"/>
      </w:pPr>
      <w:r>
        <w:rPr>
          <w:rFonts w:ascii="Times New Roman" w:hAnsi="Times New Roman"/>
        </w:rPr>
        <w:t>§ 823 Abs. 1 BGB</w:t>
      </w:r>
    </w:p>
    <w:p>
      <w:pPr>
        <w:jc w:val="left"/>
      </w:pPr>
      <w:r>
        <w:t xml:space="preserve">Voraussetzung für Schadensersatz nach § 823 Abs. 1 BGB ist u.a. der </w:t>
      </w:r>
      <w:r>
        <w:rPr>
          <w:b/>
        </w:rPr>
        <w:t>Kausalzusammenhang</w:t>
      </w:r>
      <w:r>
        <w:t xml:space="preserve"> zwischen der Handlung (Bt-Spritzung) und dem Schaden (Maispflanzenverderb). Dieser Kausalzusammenhang ist nach allgemeiner Ansicht (BGH, Urt. v. 26.09.2019 — III ZR 272/17, Rn. 14) vom Kläger darzulegen und zu beweisen. Angesichts der biologischen Unplausibilität einer Bt-Schädigung an Mais trägt Bremm hier eine schwierige Beweislast.</w:t>
      </w:r>
    </w:p>
    <w:p>
      <w:pPr>
        <w:pStyle w:val="Heading3"/>
      </w:pPr>
      <w:r>
        <w:rPr>
          <w:rFonts w:ascii="Times New Roman" w:hAnsi="Times New Roman"/>
        </w:rPr>
        <w:t>§ 906 BGB</w:t>
      </w:r>
    </w:p>
    <w:p>
      <w:pPr>
        <w:jc w:val="left"/>
      </w:pPr>
      <w:r>
        <w:t>Nach § 906 BGB hat der Grundstückseigentümer Einwirkungen durch Gase, Dämpfe, Gerüche, Rauch, Ruß, Wärme, Geräusch, Erschütterungen u.Ä. nur zu dulden, wenn die Benutzung nicht oder nur unwesentlich beeinträchtigt wird oder die Beeinträchtigung ortsüblich ist und nicht durch wirtschaftlich zumutbare Maßnahmen verhindert werden kann. Pestizidabdrift ist als „ähnliche" Einwirkung im Sinne von § 906 BGB anerkannt (BGH, Urt. v. 18.09.2009 — V ZR 75/08). Jedoch ist die Unwesentlichkeit der Beeinträchtigung zu prüfen — bei einem biologischen Mittel ohne bekannte Phytotoxizität auf Mais ist eine wesentliche Beeinträchtigung nicht anzunehmen.</w:t>
      </w:r>
    </w:p>
    <w:p>
      <w:pPr>
        <w:pStyle w:val="Heading3"/>
      </w:pPr>
      <w:r>
        <w:rPr>
          <w:rFonts w:ascii="Times New Roman" w:hAnsi="Times New Roman"/>
        </w:rPr>
        <w:t>§ 16 PflSchG / PflSchAnwV</w:t>
      </w:r>
    </w:p>
    <w:p>
      <w:pPr>
        <w:jc w:val="left"/>
      </w:pPr>
      <w:r>
        <w:t>§ 16 PflSchG i.V.m. § 3 PflSchAnwV schreibt vor, dass beim Einsatz von Pflanzenschutzmitteln die Anwendungsbestimmungen des Zulassungsbescheids einzuhalten sind. Die Mindestabstandsauflage NT 101 (10 m bei Windgeschwindigkeit über 3 m/s) greift nur, wenn die Windgeschwindigkeit tatsächlich über 3 m/s lag. Dies ist streitig (s.o. Windmessprotokoll).</w:t>
      </w:r>
    </w:p>
    <w:p/>
    <w:p>
      <w:pPr>
        <w:pStyle w:val="Heading2"/>
      </w:pPr>
      <w:r>
        <w:rPr>
          <w:rFonts w:ascii="Times New Roman" w:hAnsi="Times New Roman"/>
        </w:rPr>
        <w:t>5. Empfehlungen für die Klageerwiderung</w:t>
      </w:r>
    </w:p>
    <w:p>
      <w:pPr>
        <w:pStyle w:val="ListNumber"/>
      </w:pPr>
      <w:r>
        <w:rPr>
          <w:b/>
        </w:rPr>
        <w:t>Bestreitung der Windgeschwindigkeit</w:t>
      </w:r>
      <w:r>
        <w:t xml:space="preserve"> mit Vorlage des betrieblichen Windmessprotokolls und Beantragung der DWD-Stundenwerte als Beweis.</w:t>
      </w:r>
    </w:p>
    <w:p>
      <w:pPr>
        <w:pStyle w:val="ListNumber"/>
      </w:pPr>
      <w:r>
        <w:rPr>
          <w:b/>
        </w:rPr>
        <w:t>Sachverständigengutachten</w:t>
      </w:r>
      <w:r>
        <w:t xml:space="preserve"> zu den Schäden an den Maispflanzen beantragen (§ 402 ZPO) — biologische Frage: Kann Bt-tenebrionis-Toxin Maispflanzen schädigen?</w:t>
      </w:r>
    </w:p>
    <w:p>
      <w:pPr>
        <w:pStyle w:val="ListNumber"/>
      </w:pPr>
      <w:r>
        <w:rPr>
          <w:b/>
        </w:rPr>
        <w:t>Alternative Schadensursachen</w:t>
      </w:r>
      <w:r>
        <w:t xml:space="preserve"> konkret darlegen (Herbizideinsatz Bremm, Kälteschäden).</w:t>
      </w:r>
    </w:p>
    <w:p>
      <w:pPr>
        <w:pStyle w:val="ListNumber"/>
      </w:pPr>
      <w:r>
        <w:rPr>
          <w:b/>
        </w:rPr>
        <w:t>Schadenshöhe bestreiten</w:t>
      </w:r>
      <w:r>
        <w:t>: 30 % Ernteausfall ist nicht substantiiert belegt; Gegengutachten erforderlich.</w:t>
      </w:r>
    </w:p>
    <w:p>
      <w:pPr>
        <w:pStyle w:val="ListNumber"/>
      </w:pPr>
      <w:r>
        <w:rPr>
          <w:b/>
        </w:rPr>
        <w:t>Zuständigkeit LG Kleve prüfen:</w:t>
      </w:r>
      <w:r>
        <w:t xml:space="preserve"> Streitwert 28.400 EUR → sachliche Zuständigkeit des AG (§ 23 Nr. 1 GVG, bis 5.000 EUR) oder LG (§ 71 Abs. 1 GVG, ab 5.000 EUR) ist hier LG, korrekt.</w:t>
      </w:r>
    </w:p>
    <w:p>
      <w:pPr>
        <w:jc w:val="left"/>
      </w:pPr>
      <w:r>
        <w:rPr>
          <w:i/>
        </w:rPr>
        <w:t>Rechtsquellen: § 823 BGB; § 906 BGB; § 16 PflSchG; BGH V ZR 75/08 (bundesgerichtshof.de); BGH III ZR 272/17 (bundesgerichtshof.de); EFSA Journal 2012/10/2897.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