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Bioland-Aberkennungsverfahren — Schiedsstelle Bioland Mainz</w:t>
      </w:r>
    </w:p>
    <w:p>
      <w:pPr>
        <w:jc w:val="left"/>
      </w:pPr>
      <w:r>
        <w:rPr>
          <w:b/>
        </w:rPr>
        <w:t>Akte:</w:t>
      </w:r>
      <w:r>
        <w:t xml:space="preserve"> Schiedsstelle Bioland — Az. BS-NW-2026-0034</w:t>
      </w:r>
    </w:p>
    <w:p>
      <w:pPr>
        <w:jc w:val="left"/>
      </w:pPr>
      <w:r>
        <w:rPr>
          <w:b/>
        </w:rPr>
        <w:t>Dokument-Nr.:</w:t>
      </w:r>
      <w:r>
        <w:t xml:space="preserve"> 07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pStyle w:val="Heading3"/>
      </w:pPr>
      <w:r>
        <w:rPr>
          <w:rFonts w:ascii="Times New Roman" w:hAnsi="Times New Roman"/>
        </w:rPr>
        <w:t>1.1 Vorwurf des Bioland-Verbands</w:t>
      </w:r>
    </w:p>
    <w:p>
      <w:pPr>
        <w:jc w:val="left"/>
      </w:pPr>
      <w:r>
        <w:t xml:space="preserve">Mit Schreiben vom </w:t>
      </w:r>
      <w:r>
        <w:rPr>
          <w:b/>
        </w:rPr>
        <w:t>03. Februar 2026</w:t>
      </w:r>
      <w:r>
        <w:t xml:space="preserve"> (Gz. BL-RB-NW-2026-027) teilte der </w:t>
      </w:r>
      <w:r>
        <w:rPr>
          <w:b/>
        </w:rPr>
        <w:t>Bioland-Verband e.V.</w:t>
      </w:r>
      <w:r>
        <w:t xml:space="preserve">, Regionalverband NRW/Rheinland, der Hofgemeinschaft Driessen mit, dass beabsichtigt sei, die </w:t>
      </w:r>
      <w:r>
        <w:rPr>
          <w:b/>
        </w:rPr>
        <w:t>Bioland-Zertifizierung</w:t>
      </w:r>
      <w:r>
        <w:t xml:space="preserve"> (Nr. BL-NW-1847) zu </w:t>
      </w:r>
      <w:r>
        <w:rPr>
          <w:b/>
        </w:rPr>
        <w:t>aberkennen</w:t>
      </w:r>
      <w:r>
        <w:t>. Als Begründung wird angegeben:</w:t>
      </w:r>
    </w:p>
    <w:p>
      <w:pPr>
        <w:jc w:val="left"/>
      </w:pPr>
      <w:r>
        <w:t xml:space="preserve">Bei der turnusmäßigen Kontrollkörper-Inspektion (Bureau Veritas, Kontrollbericht Nr. BV-NW-2025-4411 vom 20. Oktober 2025) habe die Kontrollstelle festgestellt, dass im Frühjahr 2024 auf den Feldflächen der Hofgemeinschaft </w:t>
      </w:r>
      <w:r>
        <w:rPr>
          <w:b/>
        </w:rPr>
        <w:t>Knochenmehl</w:t>
      </w:r>
      <w:r>
        <w:t xml:space="preserve"> der Charge </w:t>
      </w:r>
      <w:r>
        <w:rPr>
          <w:b/>
        </w:rPr>
        <w:t>Kn-2024-0317</w:t>
      </w:r>
      <w:r>
        <w:t xml:space="preserve"> (Lieferant: Agrarhandel Bönninghausen GmbH &amp; Co. KG, Gelderner Straße 44, 47608 Geldern) als Phosphordünger ausgebracht worden sei.</w:t>
      </w:r>
    </w:p>
    <w:p>
      <w:pPr>
        <w:jc w:val="left"/>
      </w:pPr>
      <w:r>
        <w:t xml:space="preserve">Das Knochenmehl der Charge Kn-2024-0317 sei </w:t>
      </w:r>
      <w:r>
        <w:rPr>
          <w:b/>
        </w:rPr>
        <w:t>nicht zertifiziert</w:t>
      </w:r>
      <w:r>
        <w:t xml:space="preserve"> nach Anhang I der EU-Öko-Verordnung (VO (EG) 2018/848, Anhang I Teil I Nr. 1.1) und entspreche nicht den Anforderungen des Bioland-Richtlinienwerks (Erzeugerrichtlinie Pflanzenbau, Abschnitt 4.3.2, Stand 2023). Insbesondere fehle der Nachweis, dass das Knochenmehl ausschließlich aus Schlachtkörpern von ökologisch gehaltenen Tieren stamme.</w:t>
      </w:r>
    </w:p>
    <w:p>
      <w:pPr>
        <w:pStyle w:val="Heading3"/>
      </w:pPr>
      <w:r>
        <w:rPr>
          <w:rFonts w:ascii="Times New Roman" w:hAnsi="Times New Roman"/>
        </w:rPr>
        <w:t>1.2 Reaktion der Mandanten</w:t>
      </w:r>
    </w:p>
    <w:p>
      <w:pPr>
        <w:jc w:val="left"/>
      </w:pPr>
      <w:r>
        <w:t xml:space="preserve">Hartmut Driessen erklärte, er habe das Knochenmehl beim örtlichen Agrarhandel Bönninghausen bezogen und dabei ausdrücklich nach einem </w:t>
      </w:r>
      <w:r>
        <w:rPr>
          <w:b/>
        </w:rPr>
        <w:t>biolandkonformen</w:t>
      </w:r>
      <w:r>
        <w:t xml:space="preserve"> Produkt gefragt. Der Verkäufer habe ihm versichert, das Knochenmehl sei für den Ökolandbau geeignet. Ein schriftlicher Beleg (Lieferschein, Produktdatenblatt) sei vorhanden, jedoch enthalte er keinen ausdrücklichen Hinweis auf eine EU-Öko-Zertifizierung der Rohware.</w:t>
      </w:r>
    </w:p>
    <w:p>
      <w:pPr>
        <w:pStyle w:val="Heading3"/>
      </w:pPr>
      <w:r>
        <w:rPr>
          <w:rFonts w:ascii="Times New Roman" w:hAnsi="Times New Roman"/>
        </w:rPr>
        <w:t>1.3 Recherche der Kanzlei</w:t>
      </w:r>
    </w:p>
    <w:p>
      <w:pPr>
        <w:jc w:val="left"/>
      </w:pPr>
      <w:r>
        <w:t xml:space="preserve">Die Kanzlei hat das Produktdatenblatt der Charge Kn-2024-0317 angefordert. Es stellt sich heraus: Das Knochenmehl ist als „für den Ökolandbau geeignet gemäß Anhang I VO (EG) 889/2008" beschrieben (altes Recht). Die aktuelle Öko-Verordnung VO (EU) 2018/848 (in Kraft seit 01.01.2022) erfordert jedoch seit dem 01.01.2023 neben der Eignung nach Anhang I auch eine </w:t>
      </w:r>
      <w:r>
        <w:rPr>
          <w:b/>
        </w:rPr>
        <w:t>Bewertung durch die Kontrollstelle</w:t>
      </w:r>
      <w:r>
        <w:t>, ob die konkrete Charge den Anforderungen entspricht (Art. 24 VO (EU) 2018/848). Diese Bewertung durch Bureau Veritas wurde für Charge Kn-2024-0317 nicht eingeholt.</w:t>
      </w:r>
    </w:p>
    <w:p/>
    <w:p>
      <w:pPr>
        <w:pStyle w:val="Heading2"/>
      </w:pPr>
      <w:r>
        <w:rPr>
          <w:rFonts w:ascii="Times New Roman" w:hAnsi="Times New Roman"/>
        </w:rPr>
        <w:t>2. Bioland-Verfahrensrecht</w:t>
      </w:r>
    </w:p>
    <w:p>
      <w:pPr>
        <w:pStyle w:val="Heading3"/>
      </w:pPr>
      <w:r>
        <w:rPr>
          <w:rFonts w:ascii="Times New Roman" w:hAnsi="Times New Roman"/>
        </w:rPr>
        <w:t>2.1 Richtlinien und Sanktionsregelungen</w:t>
      </w:r>
    </w:p>
    <w:p>
      <w:pPr>
        <w:jc w:val="left"/>
      </w:pPr>
      <w:r>
        <w:t>Die Bioland-Mitgliedschaft und -Zertifizierung beruht auf einem privatrechtlichen Vertrag (Mitgliedsvertrag) zwischen dem Erzeuger und dem Bioland-Verband e.V. Der Bioland-Verband ist berechtigt, bei Verstößen gegen die Erzeugerrichtlinien folgende Maßnahmen zu ergreifen:</w:t>
      </w:r>
    </w:p>
    <w:p>
      <w:pPr>
        <w:pStyle w:val="ListBullet"/>
      </w:pPr>
      <w:r>
        <w:rPr>
          <w:b/>
        </w:rPr>
        <w:t>Verweis</w:t>
      </w:r>
      <w:r>
        <w:t xml:space="preserve"> (§ 4 Abs. 1 Bioland-Sanktionsordnung)</w:t>
      </w:r>
    </w:p>
    <w:p>
      <w:pPr>
        <w:pStyle w:val="ListBullet"/>
      </w:pPr>
      <w:r>
        <w:rPr>
          <w:b/>
        </w:rPr>
        <w:t>Verwarnung mit Auflagen</w:t>
      </w:r>
      <w:r>
        <w:t xml:space="preserve"> (§ 4 Abs. 2 Bioland-Sanktionsordnung)</w:t>
      </w:r>
    </w:p>
    <w:p>
      <w:pPr>
        <w:pStyle w:val="ListBullet"/>
      </w:pPr>
      <w:r>
        <w:rPr>
          <w:b/>
        </w:rPr>
        <w:t>Vorläufige Suspendierung</w:t>
      </w:r>
      <w:r>
        <w:t xml:space="preserve"> der Zertifizierung (§ 5 Bioland-Sanktionsordnung)</w:t>
      </w:r>
    </w:p>
    <w:p>
      <w:pPr>
        <w:pStyle w:val="ListBullet"/>
      </w:pPr>
      <w:r>
        <w:rPr>
          <w:b/>
        </w:rPr>
        <w:t>Aberkennung</w:t>
      </w:r>
      <w:r>
        <w:t xml:space="preserve"> der Zertifizierung (§ 6 Bioland-Sanktionsordnung)</w:t>
      </w:r>
    </w:p>
    <w:p>
      <w:pPr>
        <w:jc w:val="left"/>
      </w:pPr>
      <w:r>
        <w:t>Die Aberkennung nach § 6 Bioland-Sanktionsordnung setzt voraus, dass der Verstoß schwerwiegend oder wiederholt ist. Bei einem erstmaligen, auf Irrtum beruhenden Verstoß sieht § 6 Abs. 2 grundsätzlich die Möglichkeit einer Bewährungsphase (Auflagenerfüllung) vor.</w:t>
      </w:r>
    </w:p>
    <w:p>
      <w:pPr>
        <w:pStyle w:val="Heading3"/>
      </w:pPr>
      <w:r>
        <w:rPr>
          <w:rFonts w:ascii="Times New Roman" w:hAnsi="Times New Roman"/>
        </w:rPr>
        <w:t>2.2 Schiedsverfahren</w:t>
      </w:r>
    </w:p>
    <w:p>
      <w:pPr>
        <w:jc w:val="left"/>
      </w:pPr>
      <w:r>
        <w:t xml:space="preserve">§ 10 des Bioland-Mitgliedsvertrags sieht vor, dass Streitigkeiten über Sanktionsmaßnahmen der </w:t>
      </w:r>
      <w:r>
        <w:rPr>
          <w:b/>
        </w:rPr>
        <w:t>Schiedsstelle Bioland</w:t>
      </w:r>
      <w:r>
        <w:t xml:space="preserve"> (Sitz Mainz) zur Entscheidung vorgelegt werden. Das Schiedsverfahren ist Voraussetzung vor Einleitung staatlicher Gerichtsverfahren (Schiedsklausel i.S.v. § 1031 ZPO). Das Schiedsgericht besteht aus einem Schiedsrichter, der von der Schiedsstelle bestimmt wird, sofern die Parteien sich nicht einigen.</w:t>
      </w:r>
    </w:p>
    <w:p/>
    <w:p>
      <w:pPr>
        <w:pStyle w:val="Heading2"/>
      </w:pPr>
      <w:r>
        <w:rPr>
          <w:rFonts w:ascii="Times New Roman" w:hAnsi="Times New Roman"/>
        </w:rPr>
        <w:t>3. Rechtliche Analyse</w:t>
      </w:r>
    </w:p>
    <w:p>
      <w:pPr>
        <w:pStyle w:val="Heading3"/>
      </w:pPr>
      <w:r>
        <w:rPr>
          <w:rFonts w:ascii="Times New Roman" w:hAnsi="Times New Roman"/>
        </w:rPr>
        <w:t>3.1 Verschuldensfrage</w:t>
      </w:r>
    </w:p>
    <w:p>
      <w:pPr>
        <w:jc w:val="left"/>
      </w:pPr>
      <w:r>
        <w:t xml:space="preserve">Für die Aberkennung der Bioland-Zertifizierung ist nach § 6 Abs. 1 Bioland-Sanktionsordnung ein </w:t>
      </w:r>
      <w:r>
        <w:rPr>
          <w:b/>
        </w:rPr>
        <w:t>vorsätzlicher oder grob fahrlässiger</w:t>
      </w:r>
      <w:r>
        <w:t xml:space="preserve"> Verstoß erforderlich. Hartmut Driessen hat die Knochenmehl-Charge in gutem Glauben auf die Aussage des Händlers hin eingesetzt. Es kann ihm allenfalls </w:t>
      </w:r>
      <w:r>
        <w:rPr>
          <w:b/>
        </w:rPr>
        <w:t>einfache Fahrlässigkeit</w:t>
      </w:r>
      <w:r>
        <w:t xml:space="preserve"> vorgeworfen werden (Unterlassen der Rückfrage beim Kontrollkörper Bureau Veritas). Dies ist keine ausreichende Grundlage für eine Aberkennung nach § 6 Bioland-Sanktionsordnung.</w:t>
      </w:r>
    </w:p>
    <w:p>
      <w:pPr>
        <w:pStyle w:val="Heading3"/>
      </w:pPr>
      <w:r>
        <w:rPr>
          <w:rFonts w:ascii="Times New Roman" w:hAnsi="Times New Roman"/>
        </w:rPr>
        <w:t>3.2 Mitverschulden des Händlers</w:t>
      </w:r>
    </w:p>
    <w:p>
      <w:pPr>
        <w:jc w:val="left"/>
      </w:pPr>
      <w:r>
        <w:t xml:space="preserve">Der Agrarhandel Bönninghausen hat durch unzutreffende Angaben zur Bio-Eignung des Knochenmehls eine </w:t>
      </w:r>
      <w:r>
        <w:rPr>
          <w:b/>
        </w:rPr>
        <w:t>culpa in contrahendo</w:t>
      </w:r>
      <w:r>
        <w:t xml:space="preserve"> (§ 311 Abs. 2 BGB) begangen. Diesem Umstand kommt im Schiedsverfahren Bedeutung zu: Ist der Verstoß maßgeblich durch Fehlinformation des Lieferanten verursacht worden, kann das Schiedsgericht dies als Milderungsgrund werten.</w:t>
      </w:r>
    </w:p>
    <w:p>
      <w:pPr>
        <w:pStyle w:val="Heading3"/>
      </w:pPr>
      <w:r>
        <w:rPr>
          <w:rFonts w:ascii="Times New Roman" w:hAnsi="Times New Roman"/>
        </w:rPr>
        <w:t>3.3 Konsequenzen der Aberkennung</w:t>
      </w:r>
    </w:p>
    <w:p>
      <w:pPr>
        <w:jc w:val="left"/>
      </w:pPr>
      <w:r>
        <w:t>Eine Aberkennung der Bioland-Zertifizierung hätte schwerwiegende wirtschaftliche Folgen:</w:t>
      </w:r>
    </w:p>
    <w:p>
      <w:pPr>
        <w:pStyle w:val="ListBullet"/>
      </w:pPr>
      <w:r>
        <w:t>Verlust der EU-Öko-Kennzeichnung für alle Produkte (VO (EU) 2018/848, Art. 30 ff.)</w:t>
      </w:r>
    </w:p>
    <w:p>
      <w:pPr>
        <w:pStyle w:val="ListBullet"/>
      </w:pPr>
      <w:r>
        <w:t>Wegfall der Agrarumweltprämie „Ökologischer Landbau" (ELER-Programm NRW, rd. 32.400 EUR/Jahr)</w:t>
      </w:r>
    </w:p>
    <w:p>
      <w:pPr>
        <w:pStyle w:val="ListBullet"/>
      </w:pPr>
      <w:r>
        <w:t>Verlust der Abnehmerverträge (Erzeugergemeinschaft Niederrhein: Bioland-Präferenzklausel im Liefervertrag § 4 Abs. 3)</w:t>
      </w:r>
    </w:p>
    <w:p>
      <w:pPr>
        <w:pStyle w:val="ListBullet"/>
      </w:pPr>
      <w:r>
        <w:t>Imageverlust und möglicher Wegfall der Bioläden-Abnehmer</w:t>
      </w:r>
    </w:p>
    <w:p>
      <w:pPr>
        <w:jc w:val="left"/>
      </w:pPr>
      <w:r>
        <w:t>Der wirtschaftliche Schaden wäre für den Betrieb existenzgefährdend.</w:t>
      </w:r>
    </w:p>
    <w:p>
      <w:pPr>
        <w:pStyle w:val="Heading3"/>
      </w:pPr>
      <w:r>
        <w:rPr>
          <w:rFonts w:ascii="Times New Roman" w:hAnsi="Times New Roman"/>
        </w:rPr>
        <w:t>3.4 Alternative Sanktionsmaßnahme</w:t>
      </w:r>
    </w:p>
    <w:p>
      <w:pPr>
        <w:jc w:val="left"/>
      </w:pPr>
      <w:r>
        <w:t xml:space="preserve">Im Schiedsverfahren sollte auf </w:t>
      </w:r>
      <w:r>
        <w:rPr>
          <w:b/>
        </w:rPr>
        <w:t>Verwarnung mit Auflage</w:t>
      </w:r>
      <w:r>
        <w:t xml:space="preserve"> statt Aberkennung hingewirkt werden. Als Auflage könnte vereinbart werden:</w:t>
      </w:r>
    </w:p>
    <w:p>
      <w:pPr>
        <w:pStyle w:val="ListBullet"/>
      </w:pPr>
      <w:r>
        <w:t>Künftig Vorlage einer Kontrollkörper-Freigabe vor dem Einsatz jedes neuen Düngemittels</w:t>
      </w:r>
    </w:p>
    <w:p>
      <w:pPr>
        <w:pStyle w:val="ListBullet"/>
      </w:pPr>
      <w:r>
        <w:t>Anpassung der internen Betriebsdokumentation (Checkliste Betriebsmittelkontrolle)</w:t>
      </w:r>
    </w:p>
    <w:p>
      <w:pPr>
        <w:pStyle w:val="ListBullet"/>
      </w:pPr>
      <w:r>
        <w:t>Einmalige Sonderinspektion durch Bureau Veritas auf Kosten des Betriebs</w:t>
      </w:r>
    </w:p>
    <w:p/>
    <w:p>
      <w:pPr>
        <w:pStyle w:val="Heading2"/>
      </w:pPr>
      <w:r>
        <w:rPr>
          <w:rFonts w:ascii="Times New Roman" w:hAnsi="Times New Roman"/>
        </w:rPr>
        <w:t>4. Empfehlungen für das Schiedsverfahren</w:t>
      </w:r>
    </w:p>
    <w:p>
      <w:pPr>
        <w:pStyle w:val="ListNumber"/>
      </w:pPr>
      <w:r>
        <w:rPr>
          <w:b/>
        </w:rPr>
        <w:t>Fristgerechte Stellungnahme</w:t>
      </w:r>
      <w:r>
        <w:t xml:space="preserve"> an Schiedsstelle Bioland (Eingabe bis 31.03.2026).</w:t>
      </w:r>
    </w:p>
    <w:p>
      <w:pPr>
        <w:pStyle w:val="ListNumber"/>
      </w:pPr>
      <w:r>
        <w:rPr>
          <w:b/>
        </w:rPr>
        <w:t>Dokumentation des guten Glaubens</w:t>
      </w:r>
      <w:r>
        <w:t>: Vorlage des Lieferscheins mit Händleraussage, Produktdatenblatt Charge Kn-2024-0317, evtl. eidesstattliche Versicherung Hartmut Driessen.</w:t>
      </w:r>
    </w:p>
    <w:p>
      <w:pPr>
        <w:pStyle w:val="ListNumber"/>
      </w:pPr>
      <w:r>
        <w:rPr>
          <w:b/>
        </w:rPr>
        <w:t>Schadensersatzanspruch gegen Bönninghausen</w:t>
      </w:r>
      <w:r>
        <w:t xml:space="preserve"> prüfen (§§ 311 Abs. 2, 241 Abs. 2, 280 BGB).</w:t>
      </w:r>
    </w:p>
    <w:p>
      <w:pPr>
        <w:pStyle w:val="ListNumber"/>
      </w:pPr>
      <w:r>
        <w:rPr>
          <w:b/>
        </w:rPr>
        <w:t>Antrag auf vorläufige Fortsetzung der Zertifizierung</w:t>
      </w:r>
      <w:r>
        <w:t xml:space="preserve"> bis zur Entscheidung der Schiedsstelle (einstweilige Verfügung LG Mainz nach § 1041 ZPO als Ultima Ratio).</w:t>
      </w:r>
    </w:p>
    <w:p>
      <w:pPr>
        <w:pStyle w:val="ListNumber"/>
      </w:pPr>
      <w:r>
        <w:rPr>
          <w:b/>
        </w:rPr>
        <w:t>Milderungsgrund Erstverstoß</w:t>
      </w:r>
      <w:r>
        <w:t xml:space="preserve"> und wirtschaftliche Existenzgefährdung vortragen.</w:t>
      </w:r>
    </w:p>
    <w:p>
      <w:pPr>
        <w:jc w:val="left"/>
      </w:pPr>
      <w:r>
        <w:rPr>
          <w:i/>
        </w:rPr>
        <w:t>Rechtsquellen: § 1031 ZPO; § 1041 ZPO; §§ 280, 311 BGB; Art. 24, 30 VO (EU) 2018/848; Bioland-Sanktionsordnung §§ 4–6 (Stand 2023).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