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Pachtstreit LVR-Liegenschaft Schwalmaue — AG Moers 5 C 211/26</w:t>
      </w:r>
    </w:p>
    <w:p>
      <w:pPr>
        <w:jc w:val="left"/>
      </w:pPr>
      <w:r>
        <w:rPr>
          <w:b/>
        </w:rPr>
        <w:t>Akte:</w:t>
      </w:r>
      <w:r>
        <w:t xml:space="preserve"> AG Moers 5 C 211/26</w:t>
      </w:r>
    </w:p>
    <w:p>
      <w:pPr>
        <w:jc w:val="left"/>
      </w:pPr>
      <w:r>
        <w:rPr>
          <w:b/>
        </w:rPr>
        <w:t>Dokument-Nr.:</w:t>
      </w:r>
      <w:r>
        <w:t xml:space="preserve"> 08</w:t>
      </w:r>
    </w:p>
    <w:p>
      <w:pPr>
        <w:jc w:val="left"/>
      </w:pPr>
      <w:r>
        <w:rPr>
          <w:b/>
        </w:rPr>
        <w:t>Erstellt:</w:t>
      </w:r>
      <w:r>
        <w:t xml:space="preserve"> März 2026</w:t>
      </w:r>
    </w:p>
    <w:p/>
    <w:p>
      <w:pPr>
        <w:pStyle w:val="Heading2"/>
      </w:pPr>
      <w:r>
        <w:rPr>
          <w:rFonts w:ascii="Times New Roman" w:hAnsi="Times New Roman"/>
        </w:rPr>
        <w:t>1. Sachverhalt</w:t>
      </w:r>
    </w:p>
    <w:p>
      <w:pPr>
        <w:pStyle w:val="Heading3"/>
      </w:pPr>
      <w:r>
        <w:rPr>
          <w:rFonts w:ascii="Times New Roman" w:hAnsi="Times New Roman"/>
        </w:rPr>
        <w:t>1.1 Pachtvertrag</w:t>
      </w:r>
    </w:p>
    <w:p>
      <w:pPr>
        <w:jc w:val="left"/>
      </w:pPr>
      <w:r>
        <w:t xml:space="preserve">Der </w:t>
      </w:r>
      <w:r>
        <w:rPr>
          <w:b/>
        </w:rPr>
        <w:t>Landschaftsverband Rheinland (LVR)</w:t>
      </w:r>
      <w:r>
        <w:t xml:space="preserve"> als Grundstückseigentümer hat mit der Hofgemeinschaft Driessen GbR am </w:t>
      </w:r>
      <w:r>
        <w:rPr>
          <w:b/>
        </w:rPr>
        <w:t>15. März 2010</w:t>
      </w:r>
      <w:r>
        <w:t xml:space="preserve"> einen Pachtvertrag über drei landwirtschaftliche Teilflächen in der Schwalmaue (Gemarkung Sonsbeck, Fluren 8 und 9) geschlossen. Die Flächen sind im Einzelnen: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Schlag</w:t>
            </w:r>
          </w:p>
        </w:tc>
        <w:tc>
          <w:tcPr>
            <w:tcW w:type="dxa" w:w="1814"/>
          </w:tcPr>
          <w:p>
            <w:r>
              <w:rPr>
                <w:rFonts w:ascii="Times New Roman" w:hAnsi="Times New Roman"/>
                <w:b/>
                <w:sz w:val="20"/>
              </w:rPr>
              <w:t>Gemarkung</w:t>
            </w:r>
          </w:p>
        </w:tc>
        <w:tc>
          <w:tcPr>
            <w:tcW w:type="dxa" w:w="1814"/>
          </w:tcPr>
          <w:p>
            <w:r>
              <w:rPr>
                <w:rFonts w:ascii="Times New Roman" w:hAnsi="Times New Roman"/>
                <w:b/>
                <w:sz w:val="20"/>
              </w:rPr>
              <w:t>Flurstück</w:t>
            </w:r>
          </w:p>
        </w:tc>
        <w:tc>
          <w:tcPr>
            <w:tcW w:type="dxa" w:w="1814"/>
          </w:tcPr>
          <w:p>
            <w:r>
              <w:rPr>
                <w:rFonts w:ascii="Times New Roman" w:hAnsi="Times New Roman"/>
                <w:b/>
                <w:sz w:val="20"/>
              </w:rPr>
              <w:t>Fläche (ha)</w:t>
            </w:r>
          </w:p>
        </w:tc>
        <w:tc>
          <w:tcPr>
            <w:tcW w:type="dxa" w:w="1814"/>
          </w:tcPr>
          <w:p>
            <w:r>
              <w:rPr>
                <w:rFonts w:ascii="Times New Roman" w:hAnsi="Times New Roman"/>
                <w:b/>
                <w:sz w:val="20"/>
              </w:rPr>
              <w:t>Pacht (EUR/ha/Jahr)</w:t>
            </w:r>
          </w:p>
        </w:tc>
      </w:tr>
      <w:tr>
        <w:tc>
          <w:tcPr>
            <w:tcW w:type="dxa" w:w="1814"/>
          </w:tcPr>
          <w:p>
            <w:r>
              <w:rPr>
                <w:rFonts w:ascii="Times New Roman" w:hAnsi="Times New Roman"/>
                <w:sz w:val="20"/>
              </w:rPr>
              <w:t>12c</w:t>
            </w:r>
          </w:p>
        </w:tc>
        <w:tc>
          <w:tcPr>
            <w:tcW w:type="dxa" w:w="1814"/>
          </w:tcPr>
          <w:p>
            <w:r>
              <w:rPr>
                <w:rFonts w:ascii="Times New Roman" w:hAnsi="Times New Roman"/>
                <w:sz w:val="20"/>
              </w:rPr>
              <w:t>Sonsbeck, Fl. 8</w:t>
            </w:r>
          </w:p>
        </w:tc>
        <w:tc>
          <w:tcPr>
            <w:tcW w:type="dxa" w:w="1814"/>
          </w:tcPr>
          <w:p>
            <w:r>
              <w:rPr>
                <w:rFonts w:ascii="Times New Roman" w:hAnsi="Times New Roman"/>
                <w:sz w:val="20"/>
              </w:rPr>
              <w:t>388/3</w:t>
            </w:r>
          </w:p>
        </w:tc>
        <w:tc>
          <w:tcPr>
            <w:tcW w:type="dxa" w:w="1814"/>
          </w:tcPr>
          <w:p>
            <w:r>
              <w:rPr>
                <w:rFonts w:ascii="Times New Roman" w:hAnsi="Times New Roman"/>
                <w:sz w:val="20"/>
              </w:rPr>
              <w:t>9,2</w:t>
            </w:r>
          </w:p>
        </w:tc>
        <w:tc>
          <w:tcPr>
            <w:tcW w:type="dxa" w:w="1814"/>
          </w:tcPr>
          <w:p>
            <w:r>
              <w:rPr>
                <w:rFonts w:ascii="Times New Roman" w:hAnsi="Times New Roman"/>
                <w:sz w:val="20"/>
              </w:rPr>
              <w:t>315</w:t>
            </w:r>
          </w:p>
        </w:tc>
      </w:tr>
      <w:tr>
        <w:tc>
          <w:tcPr>
            <w:tcW w:type="dxa" w:w="1814"/>
          </w:tcPr>
          <w:p>
            <w:r>
              <w:rPr>
                <w:rFonts w:ascii="Times New Roman" w:hAnsi="Times New Roman"/>
                <w:sz w:val="20"/>
              </w:rPr>
              <w:t>12d</w:t>
            </w:r>
          </w:p>
        </w:tc>
        <w:tc>
          <w:tcPr>
            <w:tcW w:type="dxa" w:w="1814"/>
          </w:tcPr>
          <w:p>
            <w:r>
              <w:rPr>
                <w:rFonts w:ascii="Times New Roman" w:hAnsi="Times New Roman"/>
                <w:sz w:val="20"/>
              </w:rPr>
              <w:t>Sonsbeck, Fl. 8</w:t>
            </w:r>
          </w:p>
        </w:tc>
        <w:tc>
          <w:tcPr>
            <w:tcW w:type="dxa" w:w="1814"/>
          </w:tcPr>
          <w:p>
            <w:r>
              <w:rPr>
                <w:rFonts w:ascii="Times New Roman" w:hAnsi="Times New Roman"/>
                <w:sz w:val="20"/>
              </w:rPr>
              <w:t>389</w:t>
            </w:r>
          </w:p>
        </w:tc>
        <w:tc>
          <w:tcPr>
            <w:tcW w:type="dxa" w:w="1814"/>
          </w:tcPr>
          <w:p>
            <w:r>
              <w:rPr>
                <w:rFonts w:ascii="Times New Roman" w:hAnsi="Times New Roman"/>
                <w:sz w:val="20"/>
              </w:rPr>
              <w:t>8,7</w:t>
            </w:r>
          </w:p>
        </w:tc>
        <w:tc>
          <w:tcPr>
            <w:tcW w:type="dxa" w:w="1814"/>
          </w:tcPr>
          <w:p>
            <w:r>
              <w:rPr>
                <w:rFonts w:ascii="Times New Roman" w:hAnsi="Times New Roman"/>
                <w:sz w:val="20"/>
              </w:rPr>
              <w:t>315</w:t>
            </w:r>
          </w:p>
        </w:tc>
      </w:tr>
      <w:tr>
        <w:tc>
          <w:tcPr>
            <w:tcW w:type="dxa" w:w="1814"/>
          </w:tcPr>
          <w:p>
            <w:r>
              <w:rPr>
                <w:rFonts w:ascii="Times New Roman" w:hAnsi="Times New Roman"/>
                <w:sz w:val="20"/>
              </w:rPr>
              <w:t>13a</w:t>
            </w:r>
          </w:p>
        </w:tc>
        <w:tc>
          <w:tcPr>
            <w:tcW w:type="dxa" w:w="1814"/>
          </w:tcPr>
          <w:p>
            <w:r>
              <w:rPr>
                <w:rFonts w:ascii="Times New Roman" w:hAnsi="Times New Roman"/>
                <w:sz w:val="20"/>
              </w:rPr>
              <w:t>Sonsbeck, Fl. 9</w:t>
            </w:r>
          </w:p>
        </w:tc>
        <w:tc>
          <w:tcPr>
            <w:tcW w:type="dxa" w:w="1814"/>
          </w:tcPr>
          <w:p>
            <w:r>
              <w:rPr>
                <w:rFonts w:ascii="Times New Roman" w:hAnsi="Times New Roman"/>
                <w:sz w:val="20"/>
              </w:rPr>
              <w:t>412/1</w:t>
            </w:r>
          </w:p>
        </w:tc>
        <w:tc>
          <w:tcPr>
            <w:tcW w:type="dxa" w:w="1814"/>
          </w:tcPr>
          <w:p>
            <w:r>
              <w:rPr>
                <w:rFonts w:ascii="Times New Roman" w:hAnsi="Times New Roman"/>
                <w:sz w:val="20"/>
              </w:rPr>
              <w:t>9,6</w:t>
            </w:r>
          </w:p>
        </w:tc>
        <w:tc>
          <w:tcPr>
            <w:tcW w:type="dxa" w:w="1814"/>
          </w:tcPr>
          <w:p>
            <w:r>
              <w:rPr>
                <w:rFonts w:ascii="Times New Roman" w:hAnsi="Times New Roman"/>
                <w:sz w:val="20"/>
              </w:rPr>
              <w:t>315</w:t>
            </w:r>
          </w:p>
        </w:tc>
      </w:tr>
      <w:tr>
        <w:tc>
          <w:tcPr>
            <w:tcW w:type="dxa" w:w="1814"/>
          </w:tcPr>
          <w:p>
            <w:r>
              <w:rPr>
                <w:rFonts w:ascii="Times New Roman" w:hAnsi="Times New Roman"/>
                <w:b/>
                <w:sz w:val="20"/>
              </w:rPr>
              <w:t>Gesamt</w:t>
            </w:r>
          </w:p>
        </w:tc>
        <w:tc>
          <w:tcPr>
            <w:tcW w:type="dxa" w:w="1814"/>
          </w:tcPr>
          <w:p/>
        </w:tc>
        <w:tc>
          <w:tcPr>
            <w:tcW w:type="dxa" w:w="1814"/>
          </w:tcPr>
          <w:p/>
        </w:tc>
        <w:tc>
          <w:tcPr>
            <w:tcW w:type="dxa" w:w="1814"/>
          </w:tcPr>
          <w:p>
            <w:r>
              <w:rPr>
                <w:rFonts w:ascii="Times New Roman" w:hAnsi="Times New Roman"/>
                <w:b/>
                <w:sz w:val="20"/>
              </w:rPr>
              <w:t>27,5</w:t>
            </w:r>
          </w:p>
        </w:tc>
        <w:tc>
          <w:tcPr>
            <w:tcW w:type="dxa" w:w="1814"/>
          </w:tcPr>
          <w:p>
            <w:r>
              <w:rPr>
                <w:rFonts w:ascii="Times New Roman" w:hAnsi="Times New Roman"/>
                <w:b/>
                <w:sz w:val="20"/>
              </w:rPr>
              <w:t>315</w:t>
            </w:r>
          </w:p>
        </w:tc>
      </w:tr>
    </w:tbl>
    <w:p>
      <w:pPr>
        <w:jc w:val="left"/>
      </w:pPr>
      <w:r>
        <w:t xml:space="preserve">Gesamtpachtzins: 27,5 ha × 315 EUR = </w:t>
      </w:r>
      <w:r>
        <w:rPr>
          <w:b/>
        </w:rPr>
        <w:t>8.662,50 EUR/Jahr</w:t>
      </w:r>
      <w:r>
        <w:t xml:space="preserve"> (abgerundet auf 8.640 EUR lt. Vertrag). Pachtzeit: 15 Jahre (01.04.2010–31.03.2025), verlängert durch Nachtrag vom </w:t>
      </w:r>
      <w:r>
        <w:rPr>
          <w:b/>
        </w:rPr>
        <w:t>22. September 2018</w:t>
      </w:r>
      <w:r>
        <w:t xml:space="preserve"> um weitere 36 Monate (bis </w:t>
      </w:r>
      <w:r>
        <w:rPr>
          <w:b/>
        </w:rPr>
        <w:t>31.03.2028</w:t>
      </w:r>
      <w:r>
        <w:t>).</w:t>
      </w:r>
    </w:p>
    <w:p>
      <w:pPr>
        <w:pStyle w:val="Heading3"/>
      </w:pPr>
      <w:r>
        <w:rPr>
          <w:rFonts w:ascii="Times New Roman" w:hAnsi="Times New Roman"/>
        </w:rPr>
        <w:t>1.2 Zahlungsrückstand (Behauptung LVR)</w:t>
      </w:r>
    </w:p>
    <w:p>
      <w:pPr>
        <w:jc w:val="left"/>
      </w:pPr>
      <w:r>
        <w:t xml:space="preserve">Der LVR behauptet mit Kündigungsschreiben vom </w:t>
      </w:r>
      <w:r>
        <w:rPr>
          <w:b/>
        </w:rPr>
        <w:t>15. Januar 2026</w:t>
      </w:r>
      <w:r>
        <w:t xml:space="preserve">, der Pachtzins für die Jahre 2024 und 2025 sei nicht entrichtet worden (offene Forderung: 2 × 8.640 EUR = </w:t>
      </w:r>
      <w:r>
        <w:rPr>
          <w:b/>
        </w:rPr>
        <w:t>17.280 EUR</w:t>
      </w:r>
      <w:r>
        <w:t>). Aufgrund der Zahlungsrückstände in Höhe von mehr als einer Jahrespacht werde das Pachtverhältnis mit sofortiger Wirkung fristlos gekündigt (§ 594e BGB: Kündigung aus wichtigem Grund bei mehr als einer Jahrespacht Rückstand).</w:t>
      </w:r>
    </w:p>
    <w:p>
      <w:pPr>
        <w:pStyle w:val="Heading3"/>
      </w:pPr>
      <w:r>
        <w:rPr>
          <w:rFonts w:ascii="Times New Roman" w:hAnsi="Times New Roman"/>
        </w:rPr>
        <w:t>1.3 Rechtsstandpunkt Driessen</w:t>
      </w:r>
    </w:p>
    <w:p>
      <w:pPr>
        <w:jc w:val="left"/>
      </w:pPr>
      <w:r>
        <w:t>Hartmut Driessen bestreitet den Zahlungsrückstand. Er trägt vor:</w:t>
      </w:r>
    </w:p>
    <w:p>
      <w:pPr>
        <w:pStyle w:val="ListBullet"/>
      </w:pPr>
      <w:r>
        <w:t xml:space="preserve">Für das Jahr 2024 sei der Pachtzins von 8.640 EUR am </w:t>
      </w:r>
      <w:r>
        <w:rPr>
          <w:b/>
        </w:rPr>
        <w:t>12. April 2024</w:t>
      </w:r>
      <w:r>
        <w:t xml:space="preserve"> überwiesen worden (Bankbeleg vorhanden).</w:t>
      </w:r>
    </w:p>
    <w:p>
      <w:pPr>
        <w:pStyle w:val="ListBullet"/>
      </w:pPr>
      <w:r>
        <w:t xml:space="preserve">Für das Jahr 2025 sei eine </w:t>
      </w:r>
      <w:r>
        <w:rPr>
          <w:b/>
        </w:rPr>
        <w:t>Aufrechnung</w:t>
      </w:r>
      <w:r>
        <w:t xml:space="preserve"> erklärt worden: Im Frühjahr 2023 habe er im Einverständnis des zuständigen LVR-Liegenschaftsbeamten Herrn Richter eine Drainageanlage auf den Schlägen 12c und 12d errichtet (Kosten: 19.840 EUR netto lt. Rechnung Drainagefirma Krauter, Rheinberg). Der Einbau der Drainage erhöhe den Wert der Flächen dauerhaft und sei vom LVR zunächst begrüßt worden. Driessen habe die Drainagekosten nunmehr mit dem Pachtzins 2025 aufgerechnet (§ 387 BGB).</w:t>
      </w:r>
    </w:p>
    <w:p/>
    <w:p>
      <w:pPr>
        <w:pStyle w:val="Heading2"/>
      </w:pPr>
      <w:r>
        <w:rPr>
          <w:rFonts w:ascii="Times New Roman" w:hAnsi="Times New Roman"/>
        </w:rPr>
        <w:t>2. Rechtliche Analyse</w:t>
      </w:r>
    </w:p>
    <w:p>
      <w:pPr>
        <w:pStyle w:val="Heading3"/>
      </w:pPr>
      <w:r>
        <w:rPr>
          <w:rFonts w:ascii="Times New Roman" w:hAnsi="Times New Roman"/>
        </w:rPr>
        <w:t>2.1 Pachtzins 2024 — Zahlungsnachweis</w:t>
      </w:r>
    </w:p>
    <w:p>
      <w:pPr>
        <w:jc w:val="left"/>
      </w:pPr>
      <w:r>
        <w:t>Der Zahlungsnachweis (Überweisungsbeleg Volksbank Niederrhein eG, Kontoauszug April 2024, BIC GENODED1VIE) liegt vor. Der LVR hat die Zahlung offenbar nicht korrekt verbucht oder dem falschen Verwendungszweck zugeordnet. Dies ist im Verfahren durch Vorlage des Belegs als Anlage K 1 klarzustellen.</w:t>
      </w:r>
    </w:p>
    <w:p>
      <w:pPr>
        <w:pStyle w:val="Heading3"/>
      </w:pPr>
      <w:r>
        <w:rPr>
          <w:rFonts w:ascii="Times New Roman" w:hAnsi="Times New Roman"/>
        </w:rPr>
        <w:t>2.2 Aufrechnung Drainagekosten 2025</w:t>
      </w:r>
    </w:p>
    <w:p>
      <w:pPr>
        <w:jc w:val="left"/>
      </w:pPr>
      <w:r>
        <w:t>Die Aufrechnung nach § 387 BGB setzt voraus, dass dem Aufrechnenden eine fällige Gegenforderung zusteht. Driessen könnte eine Gegenforderung auf Ersatz der Drainageaufwendungen aus folgenden Rechtsgrundlagen ableiten:</w:t>
      </w:r>
    </w:p>
    <w:p>
      <w:pPr>
        <w:jc w:val="left"/>
      </w:pPr>
      <w:r>
        <w:rPr>
          <w:b/>
        </w:rPr>
        <w:t>a) Verwendungsersatz nach § 591 BGB (Landpacht)</w:t>
      </w:r>
    </w:p>
    <w:p>
      <w:pPr>
        <w:jc w:val="left"/>
      </w:pPr>
      <w:r>
        <w:t>§ 591 Abs. 1 BGB gibt dem Pächter einen Anspruch auf Ersatz von Aufwendungen, die der Verpächter nach den Regeln der Geschäftsführung ohne Auftrag (§§ 683, 670 BGB) erstatten müsste, sofern sie notwendig oder nützlich waren und im Einverständnis des Verpächters vorgenommen wurden. Die Drainage erfüllt diese Voraussetzungen:</w:t>
      </w:r>
    </w:p>
    <w:p>
      <w:pPr>
        <w:pStyle w:val="ListBullet"/>
      </w:pPr>
      <w:r>
        <w:t>Sie ist notwendig (Vernässungsprobleme auf den Schwalmaue-Schlägen dokumentiert, Biolandberater-Protokoll 2022);</w:t>
      </w:r>
    </w:p>
    <w:p>
      <w:pPr>
        <w:pStyle w:val="ListBullet"/>
      </w:pPr>
      <w:r>
        <w:t>LVR-Liegenschaftsbeamter Richter hat mündlich zugestimmt (Zeugenaussage erforderlich);</w:t>
      </w:r>
    </w:p>
    <w:p>
      <w:pPr>
        <w:pStyle w:val="ListBullet"/>
      </w:pPr>
      <w:r>
        <w:t>Sie erhöht den Wert der verpachteten Flächen nachhaltig.</w:t>
      </w:r>
    </w:p>
    <w:p>
      <w:pPr>
        <w:jc w:val="left"/>
      </w:pPr>
      <w:r>
        <w:rPr>
          <w:b/>
        </w:rPr>
        <w:t>b) Anspruch aus Geschäftsführung ohne Auftrag (§§ 683, 670 BGB)</w:t>
      </w:r>
    </w:p>
    <w:p>
      <w:pPr>
        <w:jc w:val="left"/>
      </w:pPr>
      <w:r>
        <w:t>Soweit eine ausdrückliche Zustimmung nicht belegt werden kann, kommt GoA in Betracht: Der Einbau einer Drainage auf vernässten Flächen entspricht dem mutmaßlichen Willen des Grundstückseigentümers (§ 683 Satz 1 BGB), da er den Grundstückswert steigert und dauerhaft sichert.</w:t>
      </w:r>
    </w:p>
    <w:p>
      <w:pPr>
        <w:jc w:val="left"/>
      </w:pPr>
      <w:r>
        <w:rPr>
          <w:b/>
        </w:rPr>
        <w:t>c) Ungerechtfertigte Bereicherung (§ 812 BGB)</w:t>
      </w:r>
    </w:p>
    <w:p>
      <w:pPr>
        <w:jc w:val="left"/>
      </w:pPr>
      <w:r>
        <w:t>Hilfsweise: Soweit der LVR die Drainage nutzt (Werterhöhung des Grundstücks), hat er ohne rechtlichen Grund auf Kosten von Driessen Vermögensvorteile erlangt.</w:t>
      </w:r>
    </w:p>
    <w:p>
      <w:pPr>
        <w:pStyle w:val="Heading3"/>
      </w:pPr>
      <w:r>
        <w:rPr>
          <w:rFonts w:ascii="Times New Roman" w:hAnsi="Times New Roman"/>
        </w:rPr>
        <w:t>2.3 Wirksamkeit der Aufrechnung</w:t>
      </w:r>
    </w:p>
    <w:p>
      <w:pPr>
        <w:jc w:val="left"/>
      </w:pPr>
      <w:r>
        <w:t xml:space="preserve">Die Aufrechnung ist durch Erklärung gegenüber dem LVR (Schreiben Driessen vom </w:t>
      </w:r>
      <w:r>
        <w:rPr>
          <w:b/>
        </w:rPr>
        <w:t>10. März 2025</w:t>
      </w:r>
      <w:r>
        <w:t>) formal korrekt erklärt worden. Die Gegenforderung (Drainagekosten 19.840 EUR) übersteigt den aufgerechneten Pachtzins 2025 (8.640 EUR). Die Gegenforderung ist fällig (Rechnung Krauter vom 12.04.2023, bereits seit mehr als einem Jahr offen).</w:t>
      </w:r>
    </w:p>
    <w:p>
      <w:pPr>
        <w:jc w:val="left"/>
      </w:pPr>
      <w:r>
        <w:rPr>
          <w:b/>
        </w:rPr>
        <w:t>Problem:</w:t>
      </w:r>
      <w:r>
        <w:t xml:space="preserve"> Der LVK erkennt die Aufrechnung nicht an, weil die vertragliche Zustimmung zur Drainage nicht schriftlich dokumentiert ist und der Pachtvertrag unter § 9 enthält: „Bauliche Veränderungen am Pachtgegenstand bedürfen der schriftlichen Zustimmung des Verpächters."</w:t>
      </w:r>
    </w:p>
    <w:p>
      <w:pPr>
        <w:jc w:val="left"/>
      </w:pPr>
      <w:r>
        <w:t>Diese Klausel erfasst möglicherweise die Drainage. Dagegen spricht: Eine Drainageanlage ist keine „bauliche Veränderung" im engeren Sinne, sondern eine bodenverbessernde Maßnahme (vgl. BGH, Urt. v. 07.05.2008 — XII ZR 182/05, NZM 2008, 639 zu § 591 BGB und Pächteraufwendungen im Landpachtrecht).</w:t>
      </w:r>
    </w:p>
    <w:p/>
    <w:p>
      <w:pPr>
        <w:pStyle w:val="Heading2"/>
      </w:pPr>
      <w:r>
        <w:rPr>
          <w:rFonts w:ascii="Times New Roman" w:hAnsi="Times New Roman"/>
        </w:rPr>
        <w:t>3. Kündigung — Wirksamkeitsprüfung</w:t>
      </w:r>
    </w:p>
    <w:p>
      <w:pPr>
        <w:pStyle w:val="Heading3"/>
      </w:pPr>
      <w:r>
        <w:rPr>
          <w:rFonts w:ascii="Times New Roman" w:hAnsi="Times New Roman"/>
        </w:rPr>
        <w:t>§ 594e BGB — Fristlose Kündigung bei Pachtzinsrückstand</w:t>
      </w:r>
    </w:p>
    <w:p>
      <w:pPr>
        <w:jc w:val="left"/>
      </w:pPr>
      <w:r>
        <w:t xml:space="preserve">§ 594e Abs. 1 BGB erlaubt dem Verpächter die fristlose Kündigung, wenn der Pächter </w:t>
      </w:r>
      <w:r>
        <w:rPr>
          <w:b/>
        </w:rPr>
        <w:t>für zwei aufeinanderfolgende Termine</w:t>
      </w:r>
      <w:r>
        <w:t xml:space="preserve"> mit der Entrichtung des Pachtzinses oder eines nicht unerheblichen Teils des Pachtzinses in Verzug ist. Voraussetzung ist der tatsächliche Verzug (§ 286 BGB). Hier:</w:t>
      </w:r>
    </w:p>
    <w:p>
      <w:pPr>
        <w:pStyle w:val="ListBullet"/>
      </w:pPr>
      <w:r>
        <w:t>2024: Kein Verzug (Zahlung belegt);</w:t>
      </w:r>
    </w:p>
    <w:p>
      <w:pPr>
        <w:pStyle w:val="ListBullet"/>
      </w:pPr>
      <w:r>
        <w:t>2025: Kein Verzug, wenn Aufrechnung wirksam.</w:t>
      </w:r>
    </w:p>
    <w:p>
      <w:pPr>
        <w:jc w:val="left"/>
      </w:pPr>
      <w:r>
        <w:t>Die Kündigung ist daher unwirksam, weil die Voraussetzungen des § 594e BGB nicht vorlagen.</w:t>
      </w:r>
    </w:p>
    <w:p/>
    <w:p>
      <w:pPr>
        <w:pStyle w:val="Heading2"/>
      </w:pPr>
      <w:r>
        <w:rPr>
          <w:rFonts w:ascii="Times New Roman" w:hAnsi="Times New Roman"/>
        </w:rPr>
        <w:t>4. Empfehlungen für das AG-Moers-Verfahren</w:t>
      </w:r>
    </w:p>
    <w:p>
      <w:pPr>
        <w:pStyle w:val="ListNumber"/>
      </w:pPr>
      <w:r>
        <w:rPr>
          <w:b/>
        </w:rPr>
        <w:t>Klageerwiderung</w:t>
      </w:r>
      <w:r>
        <w:t xml:space="preserve"> mit Nachweis der Zahlung 2024 (Anlage K 1: Kontoauszug).</w:t>
      </w:r>
    </w:p>
    <w:p>
      <w:pPr>
        <w:pStyle w:val="ListNumber"/>
      </w:pPr>
      <w:r>
        <w:rPr>
          <w:b/>
        </w:rPr>
        <w:t>Geltendmachung Aufrechnung</w:t>
      </w:r>
      <w:r>
        <w:t xml:space="preserve"> und Wirksamkeit nach § 591 BGB.</w:t>
      </w:r>
    </w:p>
    <w:p>
      <w:pPr>
        <w:pStyle w:val="ListNumber"/>
      </w:pPr>
      <w:r>
        <w:rPr>
          <w:b/>
        </w:rPr>
        <w:t>Zeugenaussage LVR-Beamter Richter</w:t>
      </w:r>
      <w:r>
        <w:t xml:space="preserve"> beantragen (Zustimmung zur Drainage).</w:t>
      </w:r>
    </w:p>
    <w:p>
      <w:pPr>
        <w:pStyle w:val="ListNumber"/>
      </w:pPr>
      <w:r>
        <w:rPr>
          <w:b/>
        </w:rPr>
        <w:t>Räumungsschutzantrag</w:t>
      </w:r>
      <w:r>
        <w:t xml:space="preserve"> falls LVR Räumungsklage erhebt (§ 721 ZPO analog).</w:t>
      </w:r>
    </w:p>
    <w:p>
      <w:pPr>
        <w:pStyle w:val="ListNumber"/>
      </w:pPr>
      <w:r>
        <w:rPr>
          <w:b/>
        </w:rPr>
        <w:t>Widerklage</w:t>
      </w:r>
      <w:r>
        <w:t xml:space="preserve"> auf Feststellung der Wirksamkeit der Aufrechnung und Wertersatz Drainageanlage.</w:t>
      </w:r>
    </w:p>
    <w:p>
      <w:pPr>
        <w:pStyle w:val="ListNumber"/>
      </w:pPr>
      <w:r>
        <w:t>Hilfsweise: Berufung auf Treu und Glauben (§ 242 BGB) — LVR kann sich nach mündlicher Zustimmung und Duldung der Drainage nicht auf fehlende Schriftform berufen (venire contra factum proprium).</w:t>
      </w:r>
    </w:p>
    <w:p>
      <w:pPr>
        <w:jc w:val="left"/>
      </w:pPr>
      <w:r>
        <w:rPr>
          <w:i/>
        </w:rPr>
        <w:t>Rechtsquellen: § 387, § 591, §§ 683, 670, § 812, § 242 BGB; § 594e BGB; § 721 ZPO; BGH XII ZR 182/05 (bundesgerichtshof.de); NZM 2008, 639.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