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Hoffolge und Höfeordnung NRW — OLG Düsseldorf I-25 W 17/26</w:t>
      </w:r>
    </w:p>
    <w:p>
      <w:pPr>
        <w:jc w:val="left"/>
      </w:pPr>
      <w:r>
        <w:rPr>
          <w:b/>
        </w:rPr>
        <w:t>Akte:</w:t>
      </w:r>
      <w:r>
        <w:t xml:space="preserve"> OLG Düsseldorf I-25 W 17/26</w:t>
      </w:r>
    </w:p>
    <w:p>
      <w:pPr>
        <w:jc w:val="left"/>
      </w:pPr>
      <w:r>
        <w:rPr>
          <w:b/>
        </w:rPr>
        <w:t>Dokument-Nr.:</w:t>
      </w:r>
      <w:r>
        <w:t xml:space="preserve"> 09</w:t>
      </w:r>
    </w:p>
    <w:p>
      <w:pPr>
        <w:jc w:val="left"/>
      </w:pPr>
      <w:r>
        <w:rPr>
          <w:b/>
        </w:rPr>
        <w:t>Erstellt:</w:t>
      </w:r>
      <w:r>
        <w:t xml:space="preserve"> März 2026</w:t>
      </w:r>
    </w:p>
    <w:p/>
    <w:p>
      <w:pPr>
        <w:pStyle w:val="Heading2"/>
      </w:pPr>
      <w:r>
        <w:rPr>
          <w:rFonts w:ascii="Times New Roman" w:hAnsi="Times New Roman"/>
        </w:rPr>
        <w:t>1. Sachverhalt Hoffolge</w:t>
      </w:r>
    </w:p>
    <w:p>
      <w:pPr>
        <w:pStyle w:val="Heading3"/>
      </w:pPr>
      <w:r>
        <w:rPr>
          <w:rFonts w:ascii="Times New Roman" w:hAnsi="Times New Roman"/>
        </w:rPr>
        <w:t>1.1 Ausgangslage</w:t>
      </w:r>
    </w:p>
    <w:p>
      <w:pPr>
        <w:jc w:val="left"/>
      </w:pPr>
      <w:r>
        <w:t xml:space="preserve">Der </w:t>
      </w:r>
      <w:r>
        <w:rPr>
          <w:b/>
        </w:rPr>
        <w:t>Hof Driessen</w:t>
      </w:r>
      <w:r>
        <w:t xml:space="preserve"> (landwirtschaftliches Unternehmen mit ca. 380 ha LF, Grundbesitz ca. 185 ha Eigentumsfläche, einschl. Hofstelle, Maschinen und Inventar) ist als </w:t>
      </w:r>
      <w:r>
        <w:rPr>
          <w:b/>
        </w:rPr>
        <w:t>Hof im Sinne der Höfeordnung (HöfeO)</w:t>
      </w:r>
      <w:r>
        <w:t xml:space="preserve"> eingetragen. Im Grundbuch des AG Moers, Grundbuch Sonsbeck Blatt 2741, ist seit dem Erbfall 2003 (Tod des Vaters von Hartmut Driessen) der Hofvermerk gemäß § 1 Abs. 1 HöfeO i.V.m. § 92 GBO eingetragen. Nordrhein-Westfalen ist eines der Länder, in denen die HöfeO gilt (§ 1 Abs. 1 HöfeO: „in Hamburg, Niedersachsen, Nordrhein-Westfalen und Schleswig-Holstein").</w:t>
      </w:r>
    </w:p>
    <w:p>
      <w:pPr>
        <w:jc w:val="left"/>
      </w:pPr>
      <w:r>
        <w:t xml:space="preserve">Hartmut Driessen möchte den Hof zu Lebzeiten auf seine Tochter </w:t>
      </w:r>
      <w:r>
        <w:rPr>
          <w:b/>
        </w:rPr>
        <w:t>Mareike Driessen</w:t>
      </w:r>
      <w:r>
        <w:t xml:space="preserve"> (geb. 19.09.2002, Agrar-Studentin, Bonn) übertragen. Mareike soll Hoferbin werden.</w:t>
      </w:r>
    </w:p>
    <w:p>
      <w:pPr>
        <w:pStyle w:val="Heading3"/>
      </w:pPr>
      <w:r>
        <w:rPr>
          <w:rFonts w:ascii="Times New Roman" w:hAnsi="Times New Roman"/>
        </w:rPr>
        <w:t>1.2 Position Sohn Mathis Driessen</w:t>
      </w:r>
    </w:p>
    <w:p>
      <w:pPr>
        <w:jc w:val="left"/>
      </w:pPr>
      <w:r>
        <w:t xml:space="preserve">Sohn </w:t>
      </w:r>
      <w:r>
        <w:rPr>
          <w:b/>
        </w:rPr>
        <w:t>Mathis Driessen</w:t>
      </w:r>
      <w:r>
        <w:t xml:space="preserve"> (geb. 04.04.1999, Kaufmann, Köln) hat über seinen Anwalt (RA Henseler, Köln) mitteilen lassen:</w:t>
      </w:r>
    </w:p>
    <w:p>
      <w:pPr>
        <w:pStyle w:val="ListBullet"/>
      </w:pPr>
      <w:r>
        <w:t>Er anerkenne die Anwendbarkeit der HöfeO nicht und bestehe auf BGB-Erbfolge (hälftige Beteiligung an den Nachlasswerten);</w:t>
      </w:r>
    </w:p>
    <w:p>
      <w:pPr>
        <w:pStyle w:val="ListBullet"/>
      </w:pPr>
      <w:r>
        <w:t xml:space="preserve">Selbst wenn die HöfeO anwendbar sei, mache er seinen </w:t>
      </w:r>
      <w:r>
        <w:rPr>
          <w:b/>
        </w:rPr>
        <w:t>Abfindungsanspruch</w:t>
      </w:r>
      <w:r>
        <w:t xml:space="preserve"> nach § 12 HöfeO geltend und halte die übliche Abfindung für unzureichend;</w:t>
      </w:r>
    </w:p>
    <w:p>
      <w:pPr>
        <w:pStyle w:val="ListBullet"/>
      </w:pPr>
      <w:r>
        <w:t>Er behalte sich einen Pflichtteilsanspruch nach §§ 2303 ff. BGB vor, falls der Hof zu Lebzeiten auf Mareike übertragen werde.</w:t>
      </w:r>
    </w:p>
    <w:p/>
    <w:p>
      <w:pPr>
        <w:pStyle w:val="Heading2"/>
      </w:pPr>
      <w:r>
        <w:rPr>
          <w:rFonts w:ascii="Times New Roman" w:hAnsi="Times New Roman"/>
        </w:rPr>
        <w:t>2. Rechtlicher Rahmen: Höfeordnung NRW</w:t>
      </w:r>
    </w:p>
    <w:p>
      <w:pPr>
        <w:pStyle w:val="Heading3"/>
      </w:pPr>
      <w:r>
        <w:rPr>
          <w:rFonts w:ascii="Times New Roman" w:hAnsi="Times New Roman"/>
        </w:rPr>
        <w:t>2.1 Grundprinzip der HöfeO</w:t>
      </w:r>
    </w:p>
    <w:p>
      <w:pPr>
        <w:jc w:val="left"/>
      </w:pPr>
      <w:r>
        <w:t xml:space="preserve">Die HöfeO dient der </w:t>
      </w:r>
      <w:r>
        <w:rPr>
          <w:b/>
        </w:rPr>
        <w:t>Erhaltung der Wirtschaftlichkeit der Landwirtschaft</w:t>
      </w:r>
      <w:r>
        <w:t xml:space="preserve"> durch Unteilbarkeit von Höfen. Kernregel: Der Hof wird im Erbfall nicht geteilt, sondern </w:t>
      </w:r>
      <w:r>
        <w:rPr>
          <w:b/>
        </w:rPr>
        <w:t>einem Erben</w:t>
      </w:r>
      <w:r>
        <w:t xml:space="preserve"> (dem Hoferben) zum sog. </w:t>
      </w:r>
      <w:r>
        <w:rPr>
          <w:b/>
        </w:rPr>
        <w:t>Hofwert</w:t>
      </w:r>
      <w:r>
        <w:t xml:space="preserve"> (Ertragswert nach § 12 HöfeO) zugewiesen. Die anderen erbberechtigten Personen erhalten Abfindungen in Höhe des Hofwerts, nicht des Verkehrswerts.</w:t>
      </w:r>
    </w:p>
    <w:p>
      <w:pPr>
        <w:pStyle w:val="Heading3"/>
      </w:pPr>
      <w:r>
        <w:rPr>
          <w:rFonts w:ascii="Times New Roman" w:hAnsi="Times New Roman"/>
        </w:rPr>
        <w:t>2.2 Hofwert vs. Verkehrswert</w:t>
      </w:r>
    </w:p>
    <w:p>
      <w:pPr>
        <w:jc w:val="left"/>
      </w:pPr>
      <w:r>
        <w:t xml:space="preserve">Der Hofwert nach § 12 HöfeO entspricht dem </w:t>
      </w:r>
      <w:r>
        <w:rPr>
          <w:b/>
        </w:rPr>
        <w:t>15-fachen des Einheitswerts</w:t>
      </w:r>
      <w:r>
        <w:t xml:space="preserve"> (§ 12 Abs. 2 HöfeO i.d.F. des BVerfG-Urteils). Das BVerfG hat mit Urteil vom </w:t>
      </w:r>
      <w:r>
        <w:rPr>
          <w:b/>
        </w:rPr>
        <w:t>12.01.2016 — 1 BvR 3102/13</w:t>
      </w:r>
      <w:r>
        <w:t xml:space="preserve"> (BVerfGE 141, 1) das alte Hoffolgerecht reformiert; seitdem ist der Hofwert nach dem </w:t>
      </w:r>
      <w:r>
        <w:rPr>
          <w:b/>
        </w:rPr>
        <w:t>Ertragswert</w:t>
      </w:r>
      <w:r>
        <w:t xml:space="preserve"> gemäß § 2 HöfeO n.F. zu berechnen (vereinfacht: der Betrag, den der Hof mit seinen Erträgen bei marktüblicher Pacht erwirtschaften kann). Dies führt zu erheblich niedrigeren Abfindungen als der Verkehrswert.</w:t>
      </w:r>
    </w:p>
    <w:p>
      <w:pPr>
        <w:jc w:val="left"/>
      </w:pPr>
      <w:r>
        <w:rPr>
          <w:b/>
        </w:rPr>
        <w:t>Schätzung Hofwert:</w:t>
      </w:r>
    </w:p>
    <w:p>
      <w:pPr>
        <w:pStyle w:val="ListBullet"/>
      </w:pPr>
      <w:r>
        <w:t>Jährliche Pachteinnahme eines Betriebs dieser Größe (185 ha Eigentum) bei marktüblichem Pachtzins Niederrhein (ca. 600 EUR/ha/Jahr) = 111.000 EUR/Jahr</w:t>
      </w:r>
    </w:p>
    <w:p>
      <w:pPr>
        <w:pStyle w:val="ListBullet"/>
      </w:pPr>
      <w:r>
        <w:t xml:space="preserve">Hofwert (15-facher Jahreswert): 111.000 × 15 = </w:t>
      </w:r>
      <w:r>
        <w:rPr>
          <w:b/>
        </w:rPr>
        <w:t>1.665.000 EUR</w:t>
      </w:r>
    </w:p>
    <w:p>
      <w:pPr>
        <w:pStyle w:val="ListBullet"/>
      </w:pPr>
      <w:r>
        <w:t xml:space="preserve">Abfindung Mathis (1/2 Geschwisteranteil): ca. </w:t>
      </w:r>
      <w:r>
        <w:rPr>
          <w:b/>
        </w:rPr>
        <w:t>832.500 EUR</w:t>
      </w:r>
      <w:r>
        <w:t xml:space="preserve"> (Abfindungsanspruch nach § 12 Abs. 1 Satz 2 HöfeO)</w:t>
      </w:r>
    </w:p>
    <w:p>
      <w:pPr>
        <w:jc w:val="left"/>
      </w:pPr>
      <w:r>
        <w:rPr>
          <w:b/>
        </w:rPr>
        <w:t>Verkehrswert zum Vergleich:</w:t>
      </w:r>
    </w:p>
    <w:p>
      <w:pPr>
        <w:pStyle w:val="ListBullet"/>
      </w:pPr>
      <w:r>
        <w:t>Grundstückswert 185 ha × ca. 28.000 EUR/ha (Niederrhein-Bodenpreise 2025): ca. 5.180.000 EUR</w:t>
      </w:r>
    </w:p>
    <w:p>
      <w:pPr>
        <w:pStyle w:val="ListBullet"/>
      </w:pPr>
      <w:r>
        <w:t>Maschinen und Inventar: ca. 480.000 EUR</w:t>
      </w:r>
    </w:p>
    <w:p>
      <w:pPr>
        <w:pStyle w:val="ListBullet"/>
      </w:pPr>
      <w:r>
        <w:t>Stehende Kulturen Heidelbeeren (18,2 ha): ca. 820.000 EUR</w:t>
      </w:r>
    </w:p>
    <w:p>
      <w:pPr>
        <w:pStyle w:val="ListBullet"/>
      </w:pPr>
      <w:r>
        <w:t xml:space="preserve">Gesamter Verkehrswert: ca. </w:t>
      </w:r>
      <w:r>
        <w:rPr>
          <w:b/>
        </w:rPr>
        <w:t>6.480.000 EUR</w:t>
      </w:r>
    </w:p>
    <w:p>
      <w:pPr>
        <w:pStyle w:val="ListBullet"/>
      </w:pPr>
      <w:r>
        <w:t xml:space="preserve">Pflichtteil nach BGB (1/4 des Verkehrswerts bei zwei Kindern): ca. </w:t>
      </w:r>
      <w:r>
        <w:rPr>
          <w:b/>
        </w:rPr>
        <w:t>1.620.000 EUR</w:t>
      </w:r>
    </w:p>
    <w:p>
      <w:pPr>
        <w:jc w:val="left"/>
      </w:pPr>
      <w:r>
        <w:t>Die HöfeO führt im Vergleich zur BGB-Erbfolge zu einer Ersparnis von ca. 787.500 EUR für die übernehmende Tochter Mareike.</w:t>
      </w:r>
    </w:p>
    <w:p>
      <w:pPr>
        <w:pStyle w:val="Heading3"/>
      </w:pPr>
      <w:r>
        <w:rPr>
          <w:rFonts w:ascii="Times New Roman" w:hAnsi="Times New Roman"/>
        </w:rPr>
        <w:t>2.3 Anfechtung der Hofvermerk-Eintragung</w:t>
      </w:r>
    </w:p>
    <w:p>
      <w:pPr>
        <w:jc w:val="left"/>
      </w:pPr>
      <w:r>
        <w:t>Mathis könnte versuchen, die Aufhebung des Hofvermerks zu beantragen (§ 1 Abs. 3 HöfeO). Dies ist jedoch nur möglich, wenn der Hof die Voraussetzungen eines „Hofes" i.S.v. § 1 Abs. 1 HöfeO nicht (mehr) erfüllt. Voraussetzungen: Mindestgröße (in NRW: Betriebe, die nach ihrer Beschaffenheit als Familienlandwirtschaft bewertet werden können; de facto Betriebe ab ca. 10 ha LF), Lebensfähigkeit, dauernde Bewirtschaftung durch den Eigentümer. Alle Voraussetzungen sind bei Hofgemeinschaft Driessen erfüllt.</w:t>
      </w:r>
    </w:p>
    <w:p/>
    <w:p>
      <w:pPr>
        <w:pStyle w:val="Heading2"/>
      </w:pPr>
      <w:r>
        <w:rPr>
          <w:rFonts w:ascii="Times New Roman" w:hAnsi="Times New Roman"/>
        </w:rPr>
        <w:t>3. Verfahren OLG Düsseldorf I-25 W 17/26</w:t>
      </w:r>
    </w:p>
    <w:p>
      <w:pPr>
        <w:jc w:val="left"/>
      </w:pPr>
      <w:r>
        <w:t xml:space="preserve">Das OLG Düsseldorf ist gemäß § 15 Abs. 1 HöfeO i.V.m. § 1 Abs. 1 HöfeVfG sachlich zuständig für Streitigkeiten über die Hoferbfolge. Das Verfahren nach dem HöfeVfG ist ein </w:t>
      </w:r>
      <w:r>
        <w:rPr>
          <w:b/>
        </w:rPr>
        <w:t>Landwirtschaftssacheverfahren</w:t>
      </w:r>
      <w:r>
        <w:t xml:space="preserve"> (§ 9 HöfeVfG, § 47 FamFG), in dem das Gericht von Amts wegen den Sachverhalt erforscht (§ 26 FamFG), und läuft als FGG-ähnliches Beschlussverfahren.</w:t>
      </w:r>
    </w:p>
    <w:p>
      <w:pPr>
        <w:jc w:val="left"/>
      </w:pPr>
      <w:r>
        <w:t>Aktuell ist das Verfahren in der Phase der Sachverhaltaufklärung. Das OLG hat Akteneinsicht in das Grundbuch Sonsbeck Bl. 2741 angeordnet und Stellungnahmen der Beteiligten angefordert. Frist für Driessen (Antragsteller / Hartmut): 15.04.2026.</w:t>
      </w:r>
    </w:p>
    <w:p/>
    <w:p>
      <w:pPr>
        <w:pStyle w:val="Heading2"/>
      </w:pPr>
      <w:r>
        <w:rPr>
          <w:rFonts w:ascii="Times New Roman" w:hAnsi="Times New Roman"/>
        </w:rPr>
        <w:t>4. Pflichtteilsansprüche Mathis — Lebzeitige Übertragung</w:t>
      </w:r>
    </w:p>
    <w:p>
      <w:pPr>
        <w:pStyle w:val="Heading3"/>
      </w:pPr>
      <w:r>
        <w:rPr>
          <w:rFonts w:ascii="Times New Roman" w:hAnsi="Times New Roman"/>
        </w:rPr>
        <w:t>4.1 Schenkung und Pflichtteilsergänzung</w:t>
      </w:r>
    </w:p>
    <w:p>
      <w:pPr>
        <w:jc w:val="left"/>
      </w:pPr>
      <w:r>
        <w:t xml:space="preserve">Überträgt Hartmut den Hof zu Lebzeiten an Mareike (Schenkung unter Lebenden), steht Mathis bei Tod des Vaters ein </w:t>
      </w:r>
      <w:r>
        <w:rPr>
          <w:b/>
        </w:rPr>
        <w:t>Pflichtteilsergänzungsanspruch</w:t>
      </w:r>
      <w:r>
        <w:t xml:space="preserve"> gemäß § 2325 BGB zu. Dieser berechnet sich aus dem Wert der Schenkung (abgeschmolzen je Jahr seit Schenkung nach der Abschmelzungsregel, § 2325 Abs. 3 BGB: 1/10 pro Jahr, nach 10 Jahren kein Anspruch mehr).</w:t>
      </w:r>
    </w:p>
    <w:p>
      <w:pPr>
        <w:jc w:val="left"/>
      </w:pPr>
      <w:r>
        <w:rPr>
          <w:b/>
        </w:rPr>
        <w:t>Hinweis:</w:t>
      </w:r>
      <w:r>
        <w:t xml:space="preserve"> Die HöfeO enthält in § 16 HöfeO eine spezielle Regelung, nach der auch bei lebzeitiger Übergabe an den Hoferben die Abfindungsansprüche der weichenden Erben nach §§ 12, 13 HöfeO gelten. Der Pflichtteilsergänzungsanspruch nach BGB wird durch § 16 HöfeO nicht ausgeschlossen, tritt aber hinter die HöfeO-Abfindung zurück soweit diese den Pflichtteil deckt.</w:t>
      </w:r>
    </w:p>
    <w:p>
      <w:pPr>
        <w:pStyle w:val="Heading3"/>
      </w:pPr>
      <w:r>
        <w:rPr>
          <w:rFonts w:ascii="Times New Roman" w:hAnsi="Times New Roman"/>
        </w:rPr>
        <w:t>4.2 Strategie für Hofübergabe</w:t>
      </w:r>
    </w:p>
    <w:p>
      <w:pPr>
        <w:jc w:val="left"/>
      </w:pPr>
      <w:r>
        <w:t>Um Mathis' Ansprüche zu minimieren und den Betrieb für Mareike zu sichern, empfiehlt die Kanzlei:</w:t>
      </w:r>
    </w:p>
    <w:p>
      <w:pPr>
        <w:pStyle w:val="ListNumber"/>
      </w:pPr>
      <w:r>
        <w:rPr>
          <w:b/>
        </w:rPr>
        <w:t>Übergabevertrag</w:t>
      </w:r>
      <w:r>
        <w:t xml:space="preserve"> Hartmut → Mareike mit notariellem Erbverzicht Mathis (§§ 2346, 2347 BGB) gegen Zahlung einer Abfindung i.H. des HöfeO-Abfindungsanspruchs (ca. 832.500 EUR).</w:t>
      </w:r>
    </w:p>
    <w:p>
      <w:pPr>
        <w:pStyle w:val="ListNumber"/>
      </w:pPr>
      <w:r>
        <w:t xml:space="preserve">Alternativ: </w:t>
      </w:r>
      <w:r>
        <w:rPr>
          <w:b/>
        </w:rPr>
        <w:t>Testamentarische Hoferbeneinsetzung</w:t>
      </w:r>
      <w:r>
        <w:t xml:space="preserve"> Mareike (§ 7 HöfeO) mit Abfindungsregelung gemäß § 12 HöfeO.</w:t>
      </w:r>
    </w:p>
    <w:p>
      <w:pPr>
        <w:pStyle w:val="ListNumber"/>
      </w:pPr>
      <w:r>
        <w:rPr>
          <w:b/>
        </w:rPr>
        <w:t>Antrag auf Streitwertfestsetzung</w:t>
      </w:r>
      <w:r>
        <w:t xml:space="preserve"> beim OLG mit dem HöfeO-Hofwert (nicht dem Verkehrswert).</w:t>
      </w:r>
    </w:p>
    <w:p>
      <w:pPr>
        <w:pStyle w:val="ListNumber"/>
      </w:pPr>
      <w:r>
        <w:t xml:space="preserve">Überprüfung der </w:t>
      </w:r>
      <w:r>
        <w:rPr>
          <w:b/>
        </w:rPr>
        <w:t>Altenteilsrechte</w:t>
      </w:r>
      <w:r>
        <w:t xml:space="preserve"> für Hartmut und Almut (§ 14 HöfeO: Leibgedinge, Altenteil).</w:t>
      </w:r>
    </w:p>
    <w:p>
      <w:pPr>
        <w:jc w:val="left"/>
      </w:pPr>
      <w:r>
        <w:rPr>
          <w:i/>
        </w:rPr>
        <w:t>Rechtsquellen: HöfeO §§ 1, 7, 12, 13, 14, 16; HöfeVfG §§ 9, 15; §§ 2303, 2325, 2346, 2347 BGB; BVerfGE 141, 1 (bundesverfassungsgericht.de); § 1 Abs. 1 GBO; OLG Düsseldorf I-25 W 17/26.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