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Analyse des Widerspruchsbescheids — LWK-NRW vom 28. Februar 2026</w:t>
      </w:r>
    </w:p>
    <w:p>
      <w:pPr>
        <w:jc w:val="left"/>
      </w:pPr>
      <w:r>
        <w:rPr>
          <w:b/>
        </w:rPr>
        <w:t>Akte:</w:t>
      </w:r>
      <w:r>
        <w:t xml:space="preserve"> VG Düsseldorf 19 K 4441/26</w:t>
      </w:r>
    </w:p>
    <w:p>
      <w:pPr>
        <w:jc w:val="left"/>
      </w:pPr>
      <w:r>
        <w:rPr>
          <w:b/>
        </w:rPr>
        <w:t>Dokument-Nr.:</w:t>
      </w:r>
      <w:r>
        <w:t xml:space="preserve"> 12</w:t>
      </w:r>
    </w:p>
    <w:p>
      <w:pPr>
        <w:jc w:val="left"/>
      </w:pPr>
      <w:r>
        <w:rPr>
          <w:b/>
        </w:rPr>
        <w:t>Erstellt:</w:t>
      </w:r>
      <w:r>
        <w:t xml:space="preserve"> März 2026</w:t>
      </w:r>
    </w:p>
    <w:p/>
    <w:p>
      <w:pPr>
        <w:pStyle w:val="Heading2"/>
      </w:pPr>
      <w:r>
        <w:rPr>
          <w:rFonts w:ascii="Times New Roman" w:hAnsi="Times New Roman"/>
        </w:rPr>
        <w:t>1. Widerspruchsbescheid — Wesentlicher Inhalt</w:t>
      </w:r>
    </w:p>
    <w:p>
      <w:pPr>
        <w:jc w:val="left"/>
      </w:pPr>
      <w:r>
        <w:t xml:space="preserve">Der </w:t>
      </w:r>
      <w:r>
        <w:rPr>
          <w:b/>
        </w:rPr>
        <w:t>Widerspruchsbescheid</w:t>
      </w:r>
      <w:r>
        <w:t xml:space="preserve"> der Landwirtschaftskammer NRW vom </w:t>
      </w:r>
      <w:r>
        <w:rPr>
          <w:b/>
        </w:rPr>
        <w:t>28. Februar 2026</w:t>
      </w:r>
      <w:r>
        <w:t xml:space="preserve"> (Gz. LWK-NRW-WB-2026-0089) wies den Widerspruch der Hofgemeinschaft Driessen in vollem Umfang zurück. Der Bescheid ist dem Bevollmächtigten Dr. Faulhammer am </w:t>
      </w:r>
      <w:r>
        <w:rPr>
          <w:b/>
        </w:rPr>
        <w:t>03. März 2026</w:t>
      </w:r>
      <w:r>
        <w:t xml:space="preserve"> zugestellt worden (Nachweis: Zustellungsurkunde). Die Klagefrist berechnet sich nach § 74 Abs. 1 VwGO: </w:t>
      </w:r>
      <w:r>
        <w:rPr>
          <w:b/>
        </w:rPr>
        <w:t>einen Monat</w:t>
      </w:r>
      <w:r>
        <w:t xml:space="preserve"> ab Zustellung, also bis zum </w:t>
      </w:r>
      <w:r>
        <w:rPr>
          <w:b/>
        </w:rPr>
        <w:t>03. April 2026</w:t>
      </w:r>
      <w:r>
        <w:t>.</w:t>
      </w:r>
    </w:p>
    <w:p>
      <w:pPr>
        <w:jc w:val="left"/>
      </w:pPr>
      <w:r>
        <w:rPr>
          <w:b/>
        </w:rPr>
        <w:t>Wichtiger Hinweis:</w:t>
      </w:r>
      <w:r>
        <w:t xml:space="preserve"> Die Klagefrist endet am 03. April 2026, nicht am 20. März 2026 wie ursprünglich im Erstgespräch angenommen. Die im Erstgespräch genannte Frist beruhte auf einer irrtümlichen Berechnung. Dies ist zu korrigieren; es besteht noch ausreichend Zeit.</w:t>
      </w:r>
    </w:p>
    <w:p/>
    <w:p>
      <w:pPr>
        <w:pStyle w:val="Heading2"/>
      </w:pPr>
      <w:r>
        <w:rPr>
          <w:rFonts w:ascii="Times New Roman" w:hAnsi="Times New Roman"/>
        </w:rPr>
        <w:t>2. Argumentation der LWK-NRW im Widerspruchsbescheid</w:t>
      </w:r>
    </w:p>
    <w:p>
      <w:pPr>
        <w:pStyle w:val="Heading3"/>
      </w:pPr>
      <w:r>
        <w:rPr>
          <w:rFonts w:ascii="Times New Roman" w:hAnsi="Times New Roman"/>
        </w:rPr>
        <w:t>2.1 Zur Flächendifferenz Schlag 44b</w:t>
      </w:r>
    </w:p>
    <w:p>
      <w:pPr>
        <w:jc w:val="left"/>
      </w:pPr>
      <w:r>
        <w:t>Die LWK-NRW führt aus:</w:t>
      </w:r>
    </w:p>
    <w:p>
      <w:pPr>
        <w:jc w:val="left"/>
      </w:pPr>
      <w:r>
        <w:rPr>
          <w:i/>
        </w:rPr>
        <w:t>„Die Kontrollmessung der BLE-Prüfer am 11.11.2025 ergab eine beihilfefähige Brachfläche von 5,1 ha statt der beantragten 7,4 ha auf Schlag 44b. Die Differenz von 2,3 ha übersteigt den Toleranzwert von 0,1 ha nach Art. 11 Abs. 2 Durchführungsverordnung (EU) Nr. 809/2014 sowie den maßgeblichen Korrekturschwellenwert von 20 % nach Art. 28 Delegierte Verordnung (EU) Nr. 640/2014 erheblich. Die Widerspruchsführerin hat keine belastbaren Beweise vorgelegt, die eine andere Schlagabgrenzung belegen. GPS-Messungen des Betriebs können die BLE-Vermessung nicht widerlegen."</w:t>
      </w:r>
    </w:p>
    <w:p>
      <w:pPr>
        <w:jc w:val="left"/>
      </w:pPr>
      <w:r>
        <w:rPr>
          <w:b/>
        </w:rPr>
        <w:t>Angriffspunkt:</w:t>
      </w:r>
      <w:r>
        <w:t xml:space="preserve"> Diese Argumentation übergeht, dass die interne Schlagkartei zwischen Schlag 44b und Schlag 44c unterscheidet und der GPS-Nachweis aus der Bioland-Eigenkontrolle Oktober 2024 konkrete Koordinaten enthält. Im Klageverfahren ist ein Sachverständigengutachten zur Klärung der tatsächlichen Schlaggrenzen unerlässlich.</w:t>
      </w:r>
    </w:p>
    <w:p>
      <w:pPr>
        <w:pStyle w:val="Heading3"/>
      </w:pPr>
      <w:r>
        <w:rPr>
          <w:rFonts w:ascii="Times New Roman" w:hAnsi="Times New Roman"/>
        </w:rPr>
        <w:t>2.2 Zur Aufzeichnungspflicht DüV</w:t>
      </w:r>
    </w:p>
    <w:p>
      <w:pPr>
        <w:jc w:val="left"/>
      </w:pPr>
      <w:r>
        <w:rPr>
          <w:i/>
        </w:rPr>
        <w:t>„Die Widerspruchsführerin hat im Kontrollzeitpunkt keine vollständigen DüV-Aufzeichnungen für die Schläge 21a, 21b, 22 vorlegen können. Nachgereichte Unterlagen können die Mängel im Zeitpunkt der Kontrolle nicht heilen. Maßgeblich ist der Kontrollbefund."</w:t>
      </w:r>
    </w:p>
    <w:p>
      <w:pPr>
        <w:jc w:val="left"/>
      </w:pPr>
      <w:r>
        <w:rPr>
          <w:b/>
        </w:rPr>
        <w:t>Angriffspunkt:</w:t>
      </w:r>
      <w:r>
        <w:t xml:space="preserve"> Diese Rechtsauffassung widerspricht der Rechtsprechung des OVG NRW (20 A 2006/13), wonach nachgereichte Belege zu berücksichtigen sind, sofern sie die tatsächlichen Vorgänge nachweisen. Die Bescheidbegründung verkürzt die Rechtslage.</w:t>
      </w:r>
    </w:p>
    <w:p>
      <w:pPr>
        <w:pStyle w:val="Heading3"/>
      </w:pPr>
      <w:r>
        <w:rPr>
          <w:rFonts w:ascii="Times New Roman" w:hAnsi="Times New Roman"/>
        </w:rPr>
        <w:t>2.3 Zur Frage der Falschangaben</w:t>
      </w:r>
    </w:p>
    <w:p>
      <w:pPr>
        <w:jc w:val="left"/>
      </w:pPr>
      <w:r>
        <w:rPr>
          <w:i/>
        </w:rPr>
        <w:t>„Es bestehen konkrete Anhaltspunkte dafür, dass in den IACS-Anträgen 2022 und 2023 eine Fläche angegeben wurde (7,4 ha), die der tatsächlich beihilfefähigen Fläche nicht entspricht. Auf eine vollständige Rückforderung der Agrarumweltprämien gemäß Art. 35 VO (EU) Nr. 640/2014 wird daher zu Recht abgestellt."</w:t>
      </w:r>
    </w:p>
    <w:p>
      <w:pPr>
        <w:jc w:val="left"/>
      </w:pPr>
      <w:r>
        <w:rPr>
          <w:b/>
        </w:rPr>
        <w:t>Angriffspunkt:</w:t>
      </w:r>
      <w:r>
        <w:t xml:space="preserve"> Art. 35 VO (EU) Nr. 640/2014 setzt einen vorsätzlichen oder grob fahrlässigen Verstoß voraus. Die bloße Flächendifferenz bei einem Grenzstreifen begründet keinen Vorsatz. Die Behörde hat keine Ermittlungen zur subjektiven Seite angestellt.</w:t>
      </w:r>
    </w:p>
    <w:p/>
    <w:p>
      <w:pPr>
        <w:pStyle w:val="Heading2"/>
      </w:pPr>
      <w:r>
        <w:rPr>
          <w:rFonts w:ascii="Times New Roman" w:hAnsi="Times New Roman"/>
        </w:rPr>
        <w:t>3. Formelle Prüfung des Widerspruchsbescheids</w:t>
      </w:r>
    </w:p>
    <w:p>
      <w:pPr>
        <w:pStyle w:val="Heading3"/>
      </w:pPr>
      <w:r>
        <w:rPr>
          <w:rFonts w:ascii="Times New Roman" w:hAnsi="Times New Roman"/>
        </w:rPr>
        <w:t>3.1 Begründungspflicht</w:t>
      </w:r>
    </w:p>
    <w:p>
      <w:pPr>
        <w:jc w:val="left"/>
      </w:pPr>
      <w:r>
        <w:t>Nach § 39 Abs. 1 VwVfG NRW ist ein Verwaltungsakt schriftlich zu begründen. Die Begründung muss die wesentlichen tatsächlichen und rechtlichen Gründe mitteilen, die die Behörde zu ihrer Entscheidung bewogen haben. Der Widerspruchsbescheid enthält keine substantielle Auseinandersetzung mit den im Widerspruch vorgebrachten GPS-Daten und den nachgereichten DüV-Unterlagen.</w:t>
      </w:r>
    </w:p>
    <w:p>
      <w:pPr>
        <w:jc w:val="left"/>
      </w:pPr>
      <w:r>
        <w:rPr>
          <w:b/>
        </w:rPr>
        <w:t>Rüge:</w:t>
      </w:r>
      <w:r>
        <w:t xml:space="preserve"> Begründungsmangel nach § 39 Abs. 1 VwVfG NRW (im Klageverfahren zur Rechtswidrigkeit des Bescheids geltend zu machen).</w:t>
      </w:r>
    </w:p>
    <w:p>
      <w:pPr>
        <w:pStyle w:val="Heading3"/>
      </w:pPr>
      <w:r>
        <w:rPr>
          <w:rFonts w:ascii="Times New Roman" w:hAnsi="Times New Roman"/>
        </w:rPr>
        <w:t>3.2 Ermessensausübung</w:t>
      </w:r>
    </w:p>
    <w:p>
      <w:pPr>
        <w:jc w:val="left"/>
      </w:pPr>
      <w:r>
        <w:t>Bei der Entscheidung über die Höhe der Rückforderung hat die Behörde Ermessen auszuüben (Art. 7 Abs. 2 VO (EU) Nr. 1306/2013). Der Widerspruchsbescheid enthält keine Ermessenserwägungen, sondern stellt die vollständige Rückforderung als gebundene Entscheidung dar.</w:t>
      </w:r>
    </w:p>
    <w:p>
      <w:pPr>
        <w:jc w:val="left"/>
      </w:pPr>
      <w:r>
        <w:rPr>
          <w:b/>
        </w:rPr>
        <w:t>Rüge:</w:t>
      </w:r>
      <w:r>
        <w:t xml:space="preserve"> Ermessensausfall (§ 114 VwGO).</w:t>
      </w:r>
    </w:p>
    <w:p/>
    <w:p>
      <w:pPr>
        <w:pStyle w:val="Heading2"/>
      </w:pPr>
      <w:r>
        <w:rPr>
          <w:rFonts w:ascii="Times New Roman" w:hAnsi="Times New Roman"/>
        </w:rPr>
        <w:t>4. Zusammenfassung der Klagepunkte (Vorblatt VG-Klage)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Klagepunkt</w:t>
            </w:r>
          </w:p>
        </w:tc>
        <w:tc>
          <w:tcPr>
            <w:tcW w:type="dxa" w:w="3024"/>
          </w:tcPr>
          <w:p>
            <w:r>
              <w:rPr>
                <w:rFonts w:ascii="Times New Roman" w:hAnsi="Times New Roman"/>
                <w:b/>
                <w:sz w:val="20"/>
              </w:rPr>
              <w:t>Angriff</w:t>
            </w:r>
          </w:p>
        </w:tc>
        <w:tc>
          <w:tcPr>
            <w:tcW w:type="dxa" w:w="3024"/>
          </w:tcPr>
          <w:p>
            <w:r>
              <w:rPr>
                <w:rFonts w:ascii="Times New Roman" w:hAnsi="Times New Roman"/>
                <w:b/>
                <w:sz w:val="20"/>
              </w:rPr>
              <w:t>Fundstelle</w:t>
            </w:r>
          </w:p>
        </w:tc>
      </w:tr>
      <w:tr>
        <w:tc>
          <w:tcPr>
            <w:tcW w:type="dxa" w:w="3024"/>
          </w:tcPr>
          <w:p>
            <w:r>
              <w:rPr>
                <w:rFonts w:ascii="Times New Roman" w:hAnsi="Times New Roman"/>
                <w:sz w:val="20"/>
              </w:rPr>
              <w:t>Flächendifferenz Schlag 44b</w:t>
            </w:r>
          </w:p>
        </w:tc>
        <w:tc>
          <w:tcPr>
            <w:tcW w:type="dxa" w:w="3024"/>
          </w:tcPr>
          <w:p>
            <w:r>
              <w:rPr>
                <w:rFonts w:ascii="Times New Roman" w:hAnsi="Times New Roman"/>
                <w:sz w:val="20"/>
              </w:rPr>
              <w:t>Fehlerhafte Schlagabgrenzung der BLE; GPS-Gegenbeweis</w:t>
            </w:r>
          </w:p>
        </w:tc>
        <w:tc>
          <w:tcPr>
            <w:tcW w:type="dxa" w:w="3024"/>
          </w:tcPr>
          <w:p>
            <w:r>
              <w:rPr>
                <w:rFonts w:ascii="Times New Roman" w:hAnsi="Times New Roman"/>
                <w:sz w:val="20"/>
              </w:rPr>
              <w:t>Anlage K 5</w:t>
            </w:r>
          </w:p>
        </w:tc>
      </w:tr>
      <w:tr>
        <w:tc>
          <w:tcPr>
            <w:tcW w:type="dxa" w:w="3024"/>
          </w:tcPr>
          <w:p>
            <w:r>
              <w:rPr>
                <w:rFonts w:ascii="Times New Roman" w:hAnsi="Times New Roman"/>
                <w:sz w:val="20"/>
              </w:rPr>
              <w:t>Öko-Äquivalenz 2022</w:t>
            </w:r>
          </w:p>
        </w:tc>
        <w:tc>
          <w:tcPr>
            <w:tcW w:type="dxa" w:w="3024"/>
          </w:tcPr>
          <w:p>
            <w:r>
              <w:rPr>
                <w:rFonts w:ascii="Times New Roman" w:hAnsi="Times New Roman"/>
                <w:sz w:val="20"/>
              </w:rPr>
              <w:t>Art. 43 Abs. 11 VO (EU) 1307/2013 nicht beachtet</w:t>
            </w:r>
          </w:p>
        </w:tc>
        <w:tc>
          <w:tcPr>
            <w:tcW w:type="dxa" w:w="3024"/>
          </w:tcPr>
          <w:p>
            <w:r>
              <w:rPr>
                <w:rFonts w:ascii="Times New Roman" w:hAnsi="Times New Roman"/>
                <w:sz w:val="20"/>
              </w:rPr>
              <w:t>Anlage K 9</w:t>
            </w:r>
          </w:p>
        </w:tc>
      </w:tr>
      <w:tr>
        <w:tc>
          <w:tcPr>
            <w:tcW w:type="dxa" w:w="3024"/>
          </w:tcPr>
          <w:p>
            <w:r>
              <w:rPr>
                <w:rFonts w:ascii="Times New Roman" w:hAnsi="Times New Roman"/>
                <w:sz w:val="20"/>
              </w:rPr>
              <w:t>GLÖZ-8-Ausnahme 2023</w:t>
            </w:r>
          </w:p>
        </w:tc>
        <w:tc>
          <w:tcPr>
            <w:tcW w:type="dxa" w:w="3024"/>
          </w:tcPr>
          <w:p>
            <w:r>
              <w:rPr>
                <w:rFonts w:ascii="Times New Roman" w:hAnsi="Times New Roman"/>
                <w:sz w:val="20"/>
              </w:rPr>
              <w:t>§ 27 Abs. 5 GAPDZV nicht angewandt</w:t>
            </w:r>
          </w:p>
        </w:tc>
        <w:tc>
          <w:tcPr>
            <w:tcW w:type="dxa" w:w="3024"/>
          </w:tcPr>
          <w:p>
            <w:r>
              <w:rPr>
                <w:rFonts w:ascii="Times New Roman" w:hAnsi="Times New Roman"/>
                <w:sz w:val="20"/>
              </w:rPr>
              <w:t>Anlage K 10</w:t>
            </w:r>
          </w:p>
        </w:tc>
      </w:tr>
      <w:tr>
        <w:tc>
          <w:tcPr>
            <w:tcW w:type="dxa" w:w="3024"/>
          </w:tcPr>
          <w:p>
            <w:r>
              <w:rPr>
                <w:rFonts w:ascii="Times New Roman" w:hAnsi="Times New Roman"/>
                <w:sz w:val="20"/>
              </w:rPr>
              <w:t>DüV-Aufzeichnungen</w:t>
            </w:r>
          </w:p>
        </w:tc>
        <w:tc>
          <w:tcPr>
            <w:tcW w:type="dxa" w:w="3024"/>
          </w:tcPr>
          <w:p>
            <w:r>
              <w:rPr>
                <w:rFonts w:ascii="Times New Roman" w:hAnsi="Times New Roman"/>
                <w:sz w:val="20"/>
              </w:rPr>
              <w:t>Nachgereichte Unterlagen übergangen; OVG NRW 20 A 2006/13</w:t>
            </w:r>
          </w:p>
        </w:tc>
        <w:tc>
          <w:tcPr>
            <w:tcW w:type="dxa" w:w="3024"/>
          </w:tcPr>
          <w:p>
            <w:r>
              <w:rPr>
                <w:rFonts w:ascii="Times New Roman" w:hAnsi="Times New Roman"/>
                <w:sz w:val="20"/>
              </w:rPr>
              <w:t>Anlage K 7, K 8</w:t>
            </w:r>
          </w:p>
        </w:tc>
      </w:tr>
      <w:tr>
        <w:tc>
          <w:tcPr>
            <w:tcW w:type="dxa" w:w="3024"/>
          </w:tcPr>
          <w:p>
            <w:r>
              <w:rPr>
                <w:rFonts w:ascii="Times New Roman" w:hAnsi="Times New Roman"/>
                <w:sz w:val="20"/>
              </w:rPr>
              <w:t>Cross-Compliance-Kürzung</w:t>
            </w:r>
          </w:p>
        </w:tc>
        <w:tc>
          <w:tcPr>
            <w:tcW w:type="dxa" w:w="3024"/>
          </w:tcPr>
          <w:p>
            <w:r>
              <w:rPr>
                <w:rFonts w:ascii="Times New Roman" w:hAnsi="Times New Roman"/>
                <w:sz w:val="20"/>
              </w:rPr>
              <w:t>5 % statt maximal 3 % bei Erstverstoß</w:t>
            </w:r>
          </w:p>
        </w:tc>
        <w:tc>
          <w:tcPr>
            <w:tcW w:type="dxa" w:w="3024"/>
          </w:tcPr>
          <w:p>
            <w:r>
              <w:rPr>
                <w:rFonts w:ascii="Times New Roman" w:hAnsi="Times New Roman"/>
                <w:sz w:val="20"/>
              </w:rPr>
              <w:t>Anlage K 4</w:t>
            </w:r>
          </w:p>
        </w:tc>
      </w:tr>
      <w:tr>
        <w:tc>
          <w:tcPr>
            <w:tcW w:type="dxa" w:w="3024"/>
          </w:tcPr>
          <w:p>
            <w:r>
              <w:rPr>
                <w:rFonts w:ascii="Times New Roman" w:hAnsi="Times New Roman"/>
                <w:sz w:val="20"/>
              </w:rPr>
              <w:t>Vorsatz Falschangaben</w:t>
            </w:r>
          </w:p>
        </w:tc>
        <w:tc>
          <w:tcPr>
            <w:tcW w:type="dxa" w:w="3024"/>
          </w:tcPr>
          <w:p>
            <w:r>
              <w:rPr>
                <w:rFonts w:ascii="Times New Roman" w:hAnsi="Times New Roman"/>
                <w:sz w:val="20"/>
              </w:rPr>
              <w:t>Keine Ermittlung der subjektiven Seite; Art. 35 VO (EU) 640/2014</w:t>
            </w:r>
          </w:p>
        </w:tc>
        <w:tc>
          <w:tcPr>
            <w:tcW w:type="dxa" w:w="3024"/>
          </w:tcPr>
          <w:p>
            <w:r>
              <w:rPr>
                <w:rFonts w:ascii="Times New Roman" w:hAnsi="Times New Roman"/>
                <w:sz w:val="20"/>
              </w:rPr>
              <w:t>Bescheid K 1</w:t>
            </w:r>
          </w:p>
        </w:tc>
      </w:tr>
      <w:tr>
        <w:tc>
          <w:tcPr>
            <w:tcW w:type="dxa" w:w="3024"/>
          </w:tcPr>
          <w:p>
            <w:r>
              <w:rPr>
                <w:rFonts w:ascii="Times New Roman" w:hAnsi="Times New Roman"/>
                <w:sz w:val="20"/>
              </w:rPr>
              <w:t>Verhältnismäßigkeit</w:t>
            </w:r>
          </w:p>
        </w:tc>
        <w:tc>
          <w:tcPr>
            <w:tcW w:type="dxa" w:w="3024"/>
          </w:tcPr>
          <w:p>
            <w:r>
              <w:rPr>
                <w:rFonts w:ascii="Times New Roman" w:hAnsi="Times New Roman"/>
                <w:sz w:val="20"/>
              </w:rPr>
              <w:t>Rückforderung 70,7 % unverhältnismäßig; BVerwG 8 C 21/11</w:t>
            </w:r>
          </w:p>
        </w:tc>
        <w:tc>
          <w:tcPr>
            <w:tcW w:type="dxa" w:w="3024"/>
          </w:tcPr>
          <w:p>
            <w:r>
              <w:rPr>
                <w:rFonts w:ascii="Times New Roman" w:hAnsi="Times New Roman"/>
                <w:sz w:val="20"/>
              </w:rPr>
              <w:t>—</w:t>
            </w:r>
          </w:p>
        </w:tc>
      </w:tr>
      <w:tr>
        <w:tc>
          <w:tcPr>
            <w:tcW w:type="dxa" w:w="3024"/>
          </w:tcPr>
          <w:p>
            <w:r>
              <w:rPr>
                <w:rFonts w:ascii="Times New Roman" w:hAnsi="Times New Roman"/>
                <w:sz w:val="20"/>
              </w:rPr>
              <w:t>Begründungsmangel</w:t>
            </w:r>
          </w:p>
        </w:tc>
        <w:tc>
          <w:tcPr>
            <w:tcW w:type="dxa" w:w="3024"/>
          </w:tcPr>
          <w:p>
            <w:r>
              <w:rPr>
                <w:rFonts w:ascii="Times New Roman" w:hAnsi="Times New Roman"/>
                <w:sz w:val="20"/>
              </w:rPr>
              <w:t>§ 39 Abs. 1 VwVfG NRW; GPS-Daten übergangen</w:t>
            </w:r>
          </w:p>
        </w:tc>
        <w:tc>
          <w:tcPr>
            <w:tcW w:type="dxa" w:w="3024"/>
          </w:tcPr>
          <w:p>
            <w:r>
              <w:rPr>
                <w:rFonts w:ascii="Times New Roman" w:hAnsi="Times New Roman"/>
                <w:sz w:val="20"/>
              </w:rPr>
              <w:t>—</w:t>
            </w:r>
          </w:p>
        </w:tc>
      </w:tr>
      <w:tr>
        <w:tc>
          <w:tcPr>
            <w:tcW w:type="dxa" w:w="3024"/>
          </w:tcPr>
          <w:p>
            <w:r>
              <w:rPr>
                <w:rFonts w:ascii="Times New Roman" w:hAnsi="Times New Roman"/>
                <w:sz w:val="20"/>
              </w:rPr>
              <w:t>Ermessensausfall</w:t>
            </w:r>
          </w:p>
        </w:tc>
        <w:tc>
          <w:tcPr>
            <w:tcW w:type="dxa" w:w="3024"/>
          </w:tcPr>
          <w:p>
            <w:r>
              <w:rPr>
                <w:rFonts w:ascii="Times New Roman" w:hAnsi="Times New Roman"/>
                <w:sz w:val="20"/>
              </w:rPr>
              <w:t>§ 114 VwGO; keine Ermessenserwägungen</w:t>
            </w:r>
          </w:p>
        </w:tc>
        <w:tc>
          <w:tcPr>
            <w:tcW w:type="dxa" w:w="3024"/>
          </w:tcPr>
          <w:p>
            <w:r>
              <w:rPr>
                <w:rFonts w:ascii="Times New Roman" w:hAnsi="Times New Roman"/>
                <w:sz w:val="20"/>
              </w:rPr>
              <w:t>—</w:t>
            </w:r>
          </w:p>
        </w:tc>
      </w:tr>
      <w:tr>
        <w:tc>
          <w:tcPr>
            <w:tcW w:type="dxa" w:w="3024"/>
          </w:tcPr>
          <w:p>
            <w:r>
              <w:rPr>
                <w:rFonts w:ascii="Times New Roman" w:hAnsi="Times New Roman"/>
                <w:sz w:val="20"/>
              </w:rPr>
              <w:t>Zinsen</w:t>
            </w:r>
          </w:p>
        </w:tc>
        <w:tc>
          <w:tcPr>
            <w:tcW w:type="dxa" w:w="3024"/>
          </w:tcPr>
          <w:p>
            <w:r>
              <w:rPr>
                <w:rFonts w:ascii="Times New Roman" w:hAnsi="Times New Roman"/>
                <w:sz w:val="20"/>
              </w:rPr>
              <w:t>§ 49a Abs. 3 VwVfG NRW: kein Vorsatz belegt</w:t>
            </w:r>
          </w:p>
        </w:tc>
        <w:tc>
          <w:tcPr>
            <w:tcW w:type="dxa" w:w="3024"/>
          </w:tcPr>
          <w:p>
            <w:r>
              <w:rPr>
                <w:rFonts w:ascii="Times New Roman" w:hAnsi="Times New Roman"/>
                <w:sz w:val="20"/>
              </w:rPr>
              <w:t>—</w:t>
            </w:r>
          </w:p>
        </w:tc>
      </w:tr>
    </w:tbl>
    <w:p/>
    <w:p>
      <w:pPr>
        <w:pStyle w:val="Heading2"/>
      </w:pPr>
      <w:r>
        <w:rPr>
          <w:rFonts w:ascii="Times New Roman" w:hAnsi="Times New Roman"/>
        </w:rPr>
        <w:t>5. Antrag auf aufschiebende Wirkung</w:t>
      </w:r>
    </w:p>
    <w:p>
      <w:pPr>
        <w:jc w:val="left"/>
      </w:pPr>
      <w:r>
        <w:t xml:space="preserve">Parallel zur Klage ist ein Antrag nach </w:t>
      </w:r>
      <w:r>
        <w:rPr>
          <w:b/>
        </w:rPr>
        <w:t>§ 80 Abs. 5 VwGO</w:t>
      </w:r>
      <w:r>
        <w:t xml:space="preserve"> auf Wiederherstellung der aufschiebenden Wirkung beim VG Düsseldorf zu stellen. Begründung:</w:t>
      </w:r>
    </w:p>
    <w:p>
      <w:pPr>
        <w:pStyle w:val="ListNumber"/>
      </w:pPr>
      <w:r>
        <w:rPr>
          <w:b/>
        </w:rPr>
        <w:t>Ernsthafte Zweifel an der Rechtmäßigkeit</w:t>
      </w:r>
      <w:r>
        <w:t xml:space="preserve"> des Rückforderungsbescheids (s. Klagepunkte oben).</w:t>
      </w:r>
    </w:p>
    <w:p>
      <w:pPr>
        <w:pStyle w:val="ListNumber"/>
      </w:pPr>
      <w:r>
        <w:rPr>
          <w:b/>
        </w:rPr>
        <w:t>Existenzgefährdung des Betriebs:</w:t>
      </w:r>
      <w:r>
        <w:t xml:space="preserve"> Eine sofortige Zahlung von 142.350 EUR würde die Liquidität der Hofgemeinschaft Driessen (Jahresbetriebseinkommen ca. 355.000 EUR) akut gefährden; Investitionsdarlehen (Restschuld ca. 280.000 EUR) könnten nicht mehr bedient werden.</w:t>
      </w:r>
    </w:p>
    <w:p>
      <w:pPr>
        <w:pStyle w:val="ListNumber"/>
      </w:pPr>
      <w:r>
        <w:rPr>
          <w:b/>
        </w:rPr>
        <w:t>Interessenabwägung:</w:t>
      </w:r>
      <w:r>
        <w:t xml:space="preserve"> Das fiskalische Interesse des Bundes/EU an sofortiger Rückforderung überwiegt nicht das private Interesse des Betriebs an Fortbestand, insbesondere angesichts der ökologischen Funktion (Naturschutz Schwalmaue, Bioland-Betrieb) und der ernsthaften Zweifel an der Rechtmäßigkeit.</w:t>
      </w:r>
    </w:p>
    <w:p>
      <w:pPr>
        <w:jc w:val="left"/>
      </w:pPr>
      <w:r>
        <w:rPr>
          <w:i/>
        </w:rPr>
        <w:t>Rechtsquellen: § 39 VwVfG NRW; § 74 VwGO; § 80 Abs. 5 VwGO; § 114 VwGO; BVerwG 8 C 21/11 (bundesverwaltungsgericht.de); OVG NRW 18 B 87/19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