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Vorbereitung Klageschrift VG Düsseldorf 19 K 4441/26 — Notizen und Gliederung</w:t>
      </w:r>
    </w:p>
    <w:p>
      <w:pPr>
        <w:jc w:val="left"/>
      </w:pPr>
      <w:r>
        <w:rPr>
          <w:b/>
        </w:rPr>
        <w:t>Akte:</w:t>
      </w:r>
      <w:r>
        <w:t xml:space="preserve"> VG Düsseldorf 19 K 4441/26</w:t>
      </w:r>
    </w:p>
    <w:p>
      <w:pPr>
        <w:jc w:val="left"/>
      </w:pPr>
      <w:r>
        <w:rPr>
          <w:b/>
        </w:rPr>
        <w:t>Dokument-Nr.:</w:t>
      </w:r>
      <w:r>
        <w:t xml:space="preserve"> 13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Verfahrensrechtliche Grundlagen</w:t>
      </w:r>
    </w:p>
    <w:p>
      <w:pPr>
        <w:pStyle w:val="Heading3"/>
      </w:pPr>
      <w:r>
        <w:rPr>
          <w:rFonts w:ascii="Times New Roman" w:hAnsi="Times New Roman"/>
        </w:rPr>
        <w:t>Klageart und Klageziel</w:t>
      </w:r>
    </w:p>
    <w:p>
      <w:pPr>
        <w:jc w:val="left"/>
      </w:pPr>
      <w:r>
        <w:t xml:space="preserve">Statthafter Rechtsbehelf ist die </w:t>
      </w:r>
      <w:r>
        <w:rPr>
          <w:b/>
        </w:rPr>
        <w:t>Anfechtungsklage</w:t>
      </w:r>
      <w:r>
        <w:t xml:space="preserve"> gemäß § 42 Abs. 1 Alt. 1 VwGO gegen den Rückforderungsbescheid der LWK-NRW vom 19.12.2025 in der Gestalt des Widerspruchsbescheids vom 28.02.2026. Das Klagebegehren ist die vollständige Aufhebung des Bescheids; hilfsweise Aufhebung soweit der Bescheid die nach der DüV-Kürzung (3 %) und der korrekten Flächenberechnung zulässige Rückforderungshöhe übersteigt.</w:t>
      </w:r>
    </w:p>
    <w:p>
      <w:pPr>
        <w:pStyle w:val="Heading3"/>
      </w:pPr>
      <w:r>
        <w:rPr>
          <w:rFonts w:ascii="Times New Roman" w:hAnsi="Times New Roman"/>
        </w:rPr>
        <w:t>Zuständigkeit</w:t>
      </w:r>
    </w:p>
    <w:p>
      <w:pPr>
        <w:jc w:val="left"/>
      </w:pPr>
      <w:r>
        <w:t xml:space="preserve">Das </w:t>
      </w:r>
      <w:r>
        <w:rPr>
          <w:b/>
        </w:rPr>
        <w:t>Verwaltungsgericht Düsseldorf</w:t>
      </w:r>
      <w:r>
        <w:t xml:space="preserve"> ist sachlich (§ 45 VwGO) und örtlich zuständig (§ 52 Nr. 2 VwGO: Sitz der LWK-NRW Förderbereich Bonn liegt im VG-Bezirk Bonn; jedoch: die Beklagte ist die LWK-NRW mit Sitz in Münster — örtliche Zuständigkeit des VG Düsseldorf folgt aus dem Belegenheitsprinzip NRW-Direktzahlungsrecht, vgl. VG Düsseldorf, Beschluss v. 12.01.2018 — 25 L 234/18). Die AZ-Vergabe 19 K 4441/26 bestätigt die Zuständigkeit.</w:t>
      </w:r>
    </w:p>
    <w:p>
      <w:pPr>
        <w:pStyle w:val="Heading3"/>
      </w:pPr>
      <w:r>
        <w:rPr>
          <w:rFonts w:ascii="Times New Roman" w:hAnsi="Times New Roman"/>
        </w:rPr>
        <w:t>Klagefrist</w:t>
      </w:r>
    </w:p>
    <w:p>
      <w:pPr>
        <w:jc w:val="left"/>
      </w:pPr>
      <w:r>
        <w:t xml:space="preserve">Widerspruchsbescheid zugestellt am 03.03.2026. Klagefrist: 1 Monat (§ 74 Abs. 1 VwGO). </w:t>
      </w:r>
      <w:r>
        <w:rPr>
          <w:b/>
        </w:rPr>
        <w:t>Ablauf: 03.04.2026.</w:t>
      </w:r>
      <w:r>
        <w:t xml:space="preserve"> Klageeinreichung spätestens bis Freitag, </w:t>
      </w:r>
      <w:r>
        <w:rPr>
          <w:b/>
        </w:rPr>
        <w:t>03. April 2026, 23:59 Uhr</w:t>
      </w:r>
      <w:r>
        <w:t xml:space="preserve"> (elektronisches Dokument über beA, § 55a VwGO i.V.m. ERVV).</w:t>
      </w:r>
    </w:p>
    <w:p/>
    <w:p>
      <w:pPr>
        <w:pStyle w:val="Heading2"/>
      </w:pPr>
      <w:r>
        <w:rPr>
          <w:rFonts w:ascii="Times New Roman" w:hAnsi="Times New Roman"/>
        </w:rPr>
        <w:t>2. Prozessuale Anträge</w:t>
      </w:r>
    </w:p>
    <w:p>
      <w:pPr>
        <w:jc w:val="left"/>
      </w:pPr>
      <w:r>
        <w:rPr>
          <w:b/>
        </w:rPr>
        <w:t>Hauptantrag:</w:t>
      </w:r>
    </w:p>
    <w:p>
      <w:pPr>
        <w:jc w:val="left"/>
      </w:pPr>
      <w:r>
        <w:t>Die Klägerin beantragt, den Rückforderungsbescheid der Landwirtschaftskammer NRW vom 19. Dezember 2025 (Gz. LWK-NRW-4211-FRR-2025-0047) in der Gestalt des Widerspruchsbescheids vom 28. Februar 2026 aufzuheben.</w:t>
      </w:r>
    </w:p>
    <w:p>
      <w:pPr>
        <w:jc w:val="left"/>
      </w:pPr>
      <w:r>
        <w:rPr>
          <w:b/>
        </w:rPr>
        <w:t>Hilfsantrag:</w:t>
      </w:r>
    </w:p>
    <w:p>
      <w:pPr>
        <w:jc w:val="left"/>
      </w:pPr>
      <w:r>
        <w:t>Die Klägerin beantragt, den Rückforderungsbescheid insoweit aufzuheben, als die Rückforderung den Betrag von 12.140 EUR (Basisprämien-Anteil 3 % Cross-Compliance-Kürzung für beide Antragsjahre) übersteigt.</w:t>
      </w:r>
    </w:p>
    <w:p>
      <w:pPr>
        <w:jc w:val="left"/>
      </w:pPr>
      <w:r>
        <w:rPr>
          <w:b/>
        </w:rPr>
        <w:t>Beweisanträge:</w:t>
      </w:r>
    </w:p>
    <w:p>
      <w:pPr>
        <w:pStyle w:val="ListBullet"/>
      </w:pPr>
      <w:r>
        <w:t>Einholung eines Sachverständigengutachtens zur Frage, ob die Schlaggrenzen von Schlag 44b und Schlag 44c tatsächlich wie vom Mandanten dargestellt abgegrenzt wurden (Antrag nach § 98 VwGO).</w:t>
      </w:r>
    </w:p>
    <w:p>
      <w:pPr>
        <w:pStyle w:val="ListBullet"/>
      </w:pPr>
      <w:r>
        <w:t xml:space="preserve">Beiziehung der DWD-Stundenwerte Station Wesel 22.05.2025 als amtliche Auskunft (§ 99 VwGO) — </w:t>
      </w:r>
      <w:r>
        <w:rPr>
          <w:b/>
        </w:rPr>
        <w:t>Hinweis:</w:t>
      </w:r>
      <w:r>
        <w:t xml:space="preserve"> Dies gehört zur verbundenen Sache Drift-Schaden; hier nicht unmittelbar relevant.</w:t>
      </w:r>
    </w:p>
    <w:p>
      <w:pPr>
        <w:pStyle w:val="ListBullet"/>
      </w:pPr>
      <w:r>
        <w:t>Beiziehung des vollständigen BLE-Kontrollberichts VOK-NRW-2025-1198 als Gerichtsakte (§ 99 VwGO).</w:t>
      </w:r>
    </w:p>
    <w:p>
      <w:pPr>
        <w:jc w:val="left"/>
      </w:pPr>
      <w:r>
        <w:rPr>
          <w:b/>
        </w:rPr>
        <w:t>Antrag nach § 80 Abs. 5 VwGO:</w:t>
      </w:r>
    </w:p>
    <w:p>
      <w:pPr>
        <w:jc w:val="left"/>
      </w:pPr>
      <w:r>
        <w:t>Gleichzeitig mit Klageinreichung separaten Antrag auf Anordnung der aufschiebenden Wirkung der Klage stellen (Eilsache, Aktenzeichen Eilverfahren wird nach Eingang vergeben).</w:t>
      </w:r>
    </w:p>
    <w:p/>
    <w:p>
      <w:pPr>
        <w:pStyle w:val="Heading2"/>
      </w:pPr>
      <w:r>
        <w:rPr>
          <w:rFonts w:ascii="Times New Roman" w:hAnsi="Times New Roman"/>
        </w:rPr>
        <w:t>3. Gliederung der Klageschrift</w:t>
      </w:r>
    </w:p>
    <w:p>
      <w:pPr>
        <w:pStyle w:val="Heading3"/>
      </w:pPr>
      <w:r>
        <w:rPr>
          <w:rFonts w:ascii="Times New Roman" w:hAnsi="Times New Roman"/>
        </w:rPr>
        <w:t>I. Einleitung und Sachverhalt</w:t>
      </w:r>
    </w:p>
    <w:p>
      <w:pPr>
        <w:pStyle w:val="ListNumber"/>
      </w:pPr>
      <w:r>
        <w:t>Betrieb und Förderhistorie</w:t>
      </w:r>
    </w:p>
    <w:p>
      <w:pPr>
        <w:pStyle w:val="ListNumber"/>
      </w:pPr>
      <w:r>
        <w:t>BLE-Kontrolle vom 11.11.2025</w:t>
      </w:r>
    </w:p>
    <w:p>
      <w:pPr>
        <w:pStyle w:val="ListNumber"/>
      </w:pPr>
      <w:r>
        <w:t>Rückforderungsbescheid und Widerspruch</w:t>
      </w:r>
    </w:p>
    <w:p>
      <w:pPr>
        <w:pStyle w:val="ListNumber"/>
      </w:pPr>
      <w:r>
        <w:t>Widerspruchsbescheid</w:t>
      </w:r>
    </w:p>
    <w:p>
      <w:pPr>
        <w:pStyle w:val="Heading3"/>
      </w:pPr>
      <w:r>
        <w:rPr>
          <w:rFonts w:ascii="Times New Roman" w:hAnsi="Times New Roman"/>
        </w:rPr>
        <w:t>II. Rechtliche Würdigung</w:t>
      </w:r>
    </w:p>
    <w:p>
      <w:pPr>
        <w:jc w:val="left"/>
      </w:pPr>
      <w:r>
        <w:rPr>
          <w:b/>
        </w:rPr>
        <w:t>A. Verletzung des Verhältnismäßigkeitsgrundsatzes (Art. 5 EUV, § 49a VwVfG NRW)</w:t>
      </w:r>
    </w:p>
    <w:p>
      <w:pPr>
        <w:jc w:val="left"/>
      </w:pPr>
      <w:r>
        <w:t>Die Rückforderung von 142.350 EUR beruht auf einer angenommenen Flächendifferenz von 2,3 ha auf einem einzigen Schlag (44b) von 380 ha Gesamtbetrieb. Eine Rückforderung von 70,7 % der Gesamtförderung beider Antragsjahre ist unverhältnismäßig (BVerwG 8 C 21/11; VG Düsseldorf 25 K 9072/16).</w:t>
      </w:r>
    </w:p>
    <w:p>
      <w:pPr>
        <w:jc w:val="left"/>
      </w:pPr>
      <w:r>
        <w:rPr>
          <w:b/>
        </w:rPr>
        <w:t>B. Fehlerhafte Flächenermittlung</w:t>
      </w:r>
    </w:p>
    <w:p>
      <w:pPr>
        <w:jc w:val="left"/>
      </w:pPr>
      <w:r>
        <w:t>Die BLE-Prüfer haben Schlag 44b und den angrenzenden Schlag 44c bei der Flächenmessung zusammen betrachtet, ohne die betriebsinternen Schlaggrenzen zu beachten. Beweis: GPS-Protokoll Oktober 2024 (Anlage K 5). Einholung eines Sachverständigengutachtens beantragt.</w:t>
      </w:r>
    </w:p>
    <w:p>
      <w:pPr>
        <w:jc w:val="left"/>
      </w:pPr>
      <w:r>
        <w:rPr>
          <w:b/>
        </w:rPr>
        <w:t>C. Öko-Äquivalenz für Antragsjahr 2022</w:t>
      </w:r>
    </w:p>
    <w:p>
      <w:pPr>
        <w:jc w:val="left"/>
      </w:pPr>
      <w:r>
        <w:t>Art. 43 Abs. 11 VO (EU) 1307/2013 gilt für zertifizierte Ökobetriebe. Der Betrieb war 2022 vollständig Bioland-zertifiziert (Anlage K 9). Die Greening-Prämie 2022 hätte daher nicht zurückgefordert werden dürfen.</w:t>
      </w:r>
    </w:p>
    <w:p>
      <w:pPr>
        <w:jc w:val="left"/>
      </w:pPr>
      <w:r>
        <w:rPr>
          <w:b/>
        </w:rPr>
        <w:t>D. GLÖZ-8-Ausnahme für Antragsjahr 2023</w:t>
      </w:r>
    </w:p>
    <w:p>
      <w:pPr>
        <w:jc w:val="left"/>
      </w:pPr>
      <w:r>
        <w:t>§ 27 Abs. 5 GAPDZV befreit vollständig nach EU-Öko bewirtschaftete Betriebe von der GLÖZ-8-Anforderung. Diese Befreiung wurde im Bescheid nicht berücksichtigt.</w:t>
      </w:r>
    </w:p>
    <w:p>
      <w:pPr>
        <w:jc w:val="left"/>
      </w:pPr>
      <w:r>
        <w:rPr>
          <w:b/>
        </w:rPr>
        <w:t>E. DüV-Aufzeichnungen: Nachholung zulässig</w:t>
      </w:r>
    </w:p>
    <w:p>
      <w:pPr>
        <w:jc w:val="left"/>
      </w:pPr>
      <w:r>
        <w:t>Die nachgereichten Aufzeichnungen sind zu berücksichtigen (OVG NRW 20 A 2006/13). Eine Cross-Compliance-Kürzung wäre allenfalls mit 3 % (Erstverstoß) zulässig.</w:t>
      </w:r>
    </w:p>
    <w:p>
      <w:pPr>
        <w:jc w:val="left"/>
      </w:pPr>
      <w:r>
        <w:rPr>
          <w:b/>
        </w:rPr>
        <w:t>F. Kein Vorsatz bei Flächenmeldung</w:t>
      </w:r>
    </w:p>
    <w:p>
      <w:pPr>
        <w:jc w:val="left"/>
      </w:pPr>
      <w:r>
        <w:t>Art. 35 VO (EU) Nr. 640/2014 setzt vorsätzliche oder grob fahrlässige Falschangaben voraus. Die Behörde hat keine Ermittlungen zur subjektiven Seite angestellt. Ermessenausfall nach § 114 VwGO.</w:t>
      </w:r>
    </w:p>
    <w:p>
      <w:pPr>
        <w:jc w:val="left"/>
      </w:pPr>
      <w:r>
        <w:rPr>
          <w:b/>
        </w:rPr>
        <w:t>G. Zinsen unzulässig</w:t>
      </w:r>
    </w:p>
    <w:p>
      <w:pPr>
        <w:jc w:val="left"/>
      </w:pPr>
      <w:r>
        <w:t>§ 49a Abs. 3 VwVfG NRW: Zinsen bei subventionsrechtlichen Rückforderungen nur bei Erschleichung durch arglistige Täuschung. Dies ist nicht nachgewiesen.</w:t>
      </w:r>
    </w:p>
    <w:p>
      <w:pPr>
        <w:pStyle w:val="Heading3"/>
      </w:pPr>
      <w:r>
        <w:rPr>
          <w:rFonts w:ascii="Times New Roman" w:hAnsi="Times New Roman"/>
        </w:rPr>
        <w:t>III. Antrag auf aufschiebende Wirkung (§ 80 Abs. 5 VwGO)</w:t>
      </w:r>
    </w:p>
    <w:p>
      <w:pPr>
        <w:jc w:val="left"/>
      </w:pPr>
      <w:r>
        <w:t>(Im separaten Eilantrag ausführen)</w:t>
      </w:r>
    </w:p>
    <w:p/>
    <w:p>
      <w:pPr>
        <w:pStyle w:val="Heading2"/>
      </w:pPr>
      <w:r>
        <w:rPr>
          <w:rFonts w:ascii="Times New Roman" w:hAnsi="Times New Roman"/>
        </w:rPr>
        <w:t>4. Beweismittel-Zusammenstellung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Rückforderungsbescheid LWK-NRW vom 19.12.2025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Driessen vom 16.01.2026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Widerspruchsbescheid LWK-NRW vom 28.02.2026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BLE-VOK-Bericht VOK-NRW-2025-1198 (24 Seiten)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GPS-Protokoll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Bioland-Eigenkontrolle Oktober 2024, Schlaggrenzen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Luftbild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TIM-online NRW Schlag 44b, Oktober 2022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Tabelle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Nährstoffvergleich WJ 2022/2023 (LWK-Berater Weckwerth)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Lieferscheine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Biogasgärreste BK-2023-0441 bis BK-2023-0487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Zertifikat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Bioland-Zertifikat BL-NW-1847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Formulare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MAO-NRW-Anträge 2022 und 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Schlaggrenzen-Gutachten (noch einzuholen)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Düsseldorf 25 K 9072/16 (openjur.de)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BVerwG 8 C 21/11 (bundesverwaltungsgericht.de)</w:t>
            </w:r>
          </w:p>
        </w:tc>
      </w:tr>
    </w:tbl>
    <w:p>
      <w:pPr>
        <w:jc w:val="left"/>
      </w:pPr>
      <w:r>
        <w:rPr>
          <w:i/>
        </w:rPr>
        <w:t>Rechtsquellen: §§ 42, 45, 52, 74, 80, 98, 114 VwGO; §§ 39, 49a VwVfG NRW; Art. 43 VO (EU) 1307/2013; § 27 Abs. 5 GAPDZV; OVG NRW 20 A 2006/13 (openjur.de).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