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Bioland-Richtlinien und EU-Öko-Verordnung — Rechtlicher Rahmen für das Schiedsverfahren</w:t>
      </w:r>
    </w:p>
    <w:p>
      <w:pPr>
        <w:jc w:val="left"/>
      </w:pPr>
      <w:r>
        <w:rPr>
          <w:b/>
        </w:rPr>
        <w:t>Akte:</w:t>
      </w:r>
      <w:r>
        <w:t xml:space="preserve"> Schiedsstelle Bioland — Az. BS-NW-2026-0034</w:t>
      </w:r>
    </w:p>
    <w:p>
      <w:pPr>
        <w:jc w:val="left"/>
      </w:pPr>
      <w:r>
        <w:rPr>
          <w:b/>
        </w:rPr>
        <w:t>Dokument-Nr.:</w:t>
      </w:r>
      <w:r>
        <w:t xml:space="preserve"> 14</w:t>
      </w:r>
    </w:p>
    <w:p>
      <w:pPr>
        <w:jc w:val="left"/>
      </w:pPr>
      <w:r>
        <w:rPr>
          <w:b/>
        </w:rPr>
        <w:t>Erstellt:</w:t>
      </w:r>
      <w:r>
        <w:t xml:space="preserve"> März 2026</w:t>
      </w:r>
    </w:p>
    <w:p/>
    <w:p>
      <w:pPr>
        <w:pStyle w:val="Heading2"/>
      </w:pPr>
      <w:r>
        <w:rPr>
          <w:rFonts w:ascii="Times New Roman" w:hAnsi="Times New Roman"/>
        </w:rPr>
        <w:t>1. Rechtsrahmen EU-Öko-Verordnung 2018/848</w:t>
      </w:r>
    </w:p>
    <w:p>
      <w:pPr>
        <w:pStyle w:val="Heading3"/>
      </w:pPr>
      <w:r>
        <w:rPr>
          <w:rFonts w:ascii="Times New Roman" w:hAnsi="Times New Roman"/>
        </w:rPr>
        <w:t>1.1 Grundlagen der neuen Öko-Verordnung</w:t>
      </w:r>
    </w:p>
    <w:p>
      <w:pPr>
        <w:jc w:val="left"/>
      </w:pPr>
      <w:r>
        <w:t xml:space="preserve">Seit dem </w:t>
      </w:r>
      <w:r>
        <w:rPr>
          <w:b/>
        </w:rPr>
        <w:t>01. Januar 2022</w:t>
      </w:r>
      <w:r>
        <w:t xml:space="preserve"> gilt die </w:t>
      </w:r>
      <w:r>
        <w:rPr>
          <w:b/>
        </w:rPr>
        <w:t>Verordnung (EU) 2018/848 des Europäischen Parlaments und des Rates</w:t>
      </w:r>
      <w:r>
        <w:t xml:space="preserve"> vom 30. Mai 2018 über die ökologische/biologische Produktion und die Kennzeichnung von ökologischen/biologischen Erzeugnissen (EU-Öko-VO). Sie löste die frühere Verordnung (EG) Nr. 834/2007 und deren Durchführungsverordnungen (EG) Nr. 889/2008 ab.</w:t>
      </w:r>
    </w:p>
    <w:p>
      <w:pPr>
        <w:jc w:val="left"/>
      </w:pPr>
      <w:r>
        <w:rPr>
          <w:b/>
        </w:rPr>
        <w:t>Wesentliche Neuerungen der VO (EU) 2018/848 gegenüber der alten Rechtslage:</w:t>
      </w:r>
    </w:p>
    <w:p>
      <w:pPr>
        <w:pStyle w:val="ListNumber"/>
      </w:pPr>
      <w:r>
        <w:rPr>
          <w:b/>
        </w:rPr>
        <w:t>Positivliste Düngemittel:</w:t>
      </w:r>
      <w:r>
        <w:t xml:space="preserve"> Anhang I Teil I Nr. 1 VO (EU) 2018/848 enthält eine Positivliste zulässiger Düngemittel für den ökologischen Landbau. Knochenmehl ist unter Nr. 1.1 grundsätzlich gelistet, jedoch mit dem Vorbehalt: </w:t>
      </w:r>
      <w:r>
        <w:rPr>
          <w:i/>
        </w:rPr>
        <w:t>„ausschließlich aus Schlachtabfällen ökologisch oder nicht ökologisch gehaltener Tiere; von Kontrollstelle oder Kontrollbehörde zugelassen"</w:t>
      </w:r>
      <w:r>
        <w:t>. Der Zusatz „von Kontrollstelle oder Kontrollbehörde zugelassen" ist neu gegenüber dem alten Recht.</w:t>
      </w:r>
    </w:p>
    <w:p>
      <w:pPr>
        <w:pStyle w:val="ListNumber"/>
      </w:pPr>
      <w:r>
        <w:rPr>
          <w:b/>
        </w:rPr>
        <w:t>Drittlandimporte und Lieferkettentransparenz:</w:t>
      </w:r>
      <w:r>
        <w:t xml:space="preserve"> Seit 01.01.2023 müssen Erzeuger bei Betriebsmitteln eine vollständige Rückverfolgbarkeit sicherstellen.</w:t>
      </w:r>
    </w:p>
    <w:p>
      <w:pPr>
        <w:pStyle w:val="ListNumber"/>
      </w:pPr>
      <w:r>
        <w:rPr>
          <w:b/>
        </w:rPr>
        <w:t>Übergangsfristen:</w:t>
      </w:r>
      <w:r>
        <w:t xml:space="preserve"> Für Betriebe, die bereits vor dem 01.01.2022 nach VO (EG) 834/2007 zertifiziert waren, gelten Übergangsfristen bis maximal 31.12.2024 für die Anpassung der Betriebsmittellisten.</w:t>
      </w:r>
    </w:p>
    <w:p>
      <w:pPr>
        <w:pStyle w:val="Heading3"/>
      </w:pPr>
      <w:r>
        <w:rPr>
          <w:rFonts w:ascii="Times New Roman" w:hAnsi="Times New Roman"/>
        </w:rPr>
        <w:t>1.2 Anwendung auf Charge Kn-2024-0317</w:t>
      </w:r>
    </w:p>
    <w:p>
      <w:pPr>
        <w:jc w:val="left"/>
      </w:pPr>
      <w:r>
        <w:t xml:space="preserve">Die Driesssens erwarben das Knochenmehl Charge Kn-2024-0317 im </w:t>
      </w:r>
      <w:r>
        <w:rPr>
          <w:b/>
        </w:rPr>
        <w:t>März 2024</w:t>
      </w:r>
      <w:r>
        <w:t>. Damit war die Übergangsfrist (31.12.2024) noch nicht abgelaufen, jedoch nur für bereits im Bestand befindliche Betriebsmittel, nicht für neu bezogene Produkte. Der Wechsel zum neuen Regime war für Neubezüge ab 01.01.2022 sofort wirksam.</w:t>
      </w:r>
    </w:p>
    <w:p>
      <w:pPr>
        <w:jc w:val="left"/>
      </w:pPr>
      <w:r>
        <w:rPr>
          <w:b/>
        </w:rPr>
        <w:t>Problem:</w:t>
      </w:r>
      <w:r>
        <w:t xml:space="preserve"> Das Knochenmehl Charge Kn-2024-0317 enthält nach dem Produktdatenblatt den Hinweis </w:t>
      </w:r>
      <w:r>
        <w:rPr>
          <w:i/>
        </w:rPr>
        <w:t>„geeignet gemäß VO (EG) 889/2008, Anhang I"</w:t>
      </w:r>
      <w:r>
        <w:t xml:space="preserve"> — nicht </w:t>
      </w:r>
      <w:r>
        <w:rPr>
          <w:i/>
        </w:rPr>
        <w:t>„zugelassen von Bureau Veritas (Kontrollstelle)"</w:t>
      </w:r>
      <w:r>
        <w:t>. Die Zulassung durch die Kontrollstelle fehlt.</w:t>
      </w:r>
    </w:p>
    <w:p/>
    <w:p>
      <w:pPr>
        <w:pStyle w:val="Heading2"/>
      </w:pPr>
      <w:r>
        <w:rPr>
          <w:rFonts w:ascii="Times New Roman" w:hAnsi="Times New Roman"/>
        </w:rPr>
        <w:t>2. Bioland-Richtlinien</w:t>
      </w:r>
    </w:p>
    <w:p>
      <w:pPr>
        <w:pStyle w:val="Heading3"/>
      </w:pPr>
      <w:r>
        <w:rPr>
          <w:rFonts w:ascii="Times New Roman" w:hAnsi="Times New Roman"/>
        </w:rPr>
        <w:t>2.1 Bioland-Erzeugerrichtlinie Pflanzenbau (Stand 2023)</w:t>
      </w:r>
    </w:p>
    <w:p>
      <w:pPr>
        <w:jc w:val="left"/>
      </w:pPr>
      <w:r>
        <w:t>Abschnitt 4.3.2 der Bioland-Erzeugerrichtlinie Pflanzenbau (Stand Oktober 2023) lautet:</w:t>
      </w:r>
    </w:p>
    <w:p>
      <w:pPr>
        <w:jc w:val="left"/>
      </w:pPr>
      <w:r>
        <w:rPr>
          <w:i/>
        </w:rPr>
        <w:t>„Knochenmehl und Fleischknochenmehl sind nur zulässig, wenn folgende Voraussetzungen kumulativ erfüllt sind: (a) Das Produkt stammt ausschließlich aus Schlachtkörpern von Tieren, die nach EU-Öko-Standard oder einem anerkannten Gleichwertigkeitsstandard gehalten wurden; (b) Das Produkt ist von der zuständigen Kontrollstelle des Betriebs vor dem ersten Einsatz freigegeben worden; (c) Ein Analysezertifikat des Herstellers liegt vor."</w:t>
      </w:r>
    </w:p>
    <w:p>
      <w:pPr>
        <w:jc w:val="left"/>
      </w:pPr>
      <w:r>
        <w:t>Alle drei Bedingungen wurden bei Charge Kn-2024-0317 nicht vollständig erfüllt:</w:t>
      </w:r>
    </w:p>
    <w:p>
      <w:pPr>
        <w:pStyle w:val="ListBullet"/>
      </w:pPr>
      <w:r>
        <w:t>Bedingung (a): Herkunft nicht vollständig nachgewiesen;</w:t>
      </w:r>
    </w:p>
    <w:p>
      <w:pPr>
        <w:pStyle w:val="ListBullet"/>
      </w:pPr>
      <w:r>
        <w:t>Bedingung (b): Kontrollstellen-Freigabe fehlte;</w:t>
      </w:r>
    </w:p>
    <w:p>
      <w:pPr>
        <w:pStyle w:val="ListBullet"/>
      </w:pPr>
      <w:r>
        <w:t>Bedingung (c): Analysezertifikat vorhanden, aber kein Herkunftsnachweis nach Öko-Standard.</w:t>
      </w:r>
    </w:p>
    <w:p>
      <w:pPr>
        <w:pStyle w:val="Heading3"/>
      </w:pPr>
      <w:r>
        <w:rPr>
          <w:rFonts w:ascii="Times New Roman" w:hAnsi="Times New Roman"/>
        </w:rPr>
        <w:t>2.2 Bioland-Sanktionsordnung</w:t>
      </w:r>
    </w:p>
    <w:p>
      <w:pPr>
        <w:jc w:val="left"/>
      </w:pPr>
      <w:r>
        <w:t xml:space="preserve">Die </w:t>
      </w:r>
      <w:r>
        <w:rPr>
          <w:b/>
        </w:rPr>
        <w:t>Bioland-Sanktionsordnung</w:t>
      </w:r>
      <w:r>
        <w:t xml:space="preserve"> (Stand 2022, gültig auch 2023/2024) differenziert bei Verstößen nach Schwere: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Verstoßkategorie</w:t>
            </w:r>
          </w:p>
        </w:tc>
        <w:tc>
          <w:tcPr>
            <w:tcW w:type="dxa" w:w="3024"/>
          </w:tcPr>
          <w:p>
            <w:r>
              <w:rPr>
                <w:rFonts w:ascii="Times New Roman" w:hAnsi="Times New Roman"/>
                <w:b/>
                <w:sz w:val="20"/>
              </w:rPr>
              <w:t>Beispiele</w:t>
            </w:r>
          </w:p>
        </w:tc>
        <w:tc>
          <w:tcPr>
            <w:tcW w:type="dxa" w:w="3024"/>
          </w:tcPr>
          <w:p>
            <w:r>
              <w:rPr>
                <w:rFonts w:ascii="Times New Roman" w:hAnsi="Times New Roman"/>
                <w:b/>
                <w:sz w:val="20"/>
              </w:rPr>
              <w:t>Sanktion</w:t>
            </w:r>
          </w:p>
        </w:tc>
      </w:tr>
      <w:tr>
        <w:tc>
          <w:tcPr>
            <w:tcW w:type="dxa" w:w="3024"/>
          </w:tcPr>
          <w:p>
            <w:r>
              <w:rPr>
                <w:rFonts w:ascii="Times New Roman" w:hAnsi="Times New Roman"/>
                <w:sz w:val="20"/>
              </w:rPr>
              <w:t>Kategorie 1 (leicht)</w:t>
            </w:r>
          </w:p>
        </w:tc>
        <w:tc>
          <w:tcPr>
            <w:tcW w:type="dxa" w:w="3024"/>
          </w:tcPr>
          <w:p>
            <w:r>
              <w:rPr>
                <w:rFonts w:ascii="Times New Roman" w:hAnsi="Times New Roman"/>
                <w:sz w:val="20"/>
              </w:rPr>
              <w:t>Formelle Mängel, fehlende Dokumentation</w:t>
            </w:r>
          </w:p>
        </w:tc>
        <w:tc>
          <w:tcPr>
            <w:tcW w:type="dxa" w:w="3024"/>
          </w:tcPr>
          <w:p>
            <w:r>
              <w:rPr>
                <w:rFonts w:ascii="Times New Roman" w:hAnsi="Times New Roman"/>
                <w:sz w:val="20"/>
              </w:rPr>
              <w:t>Verweis</w:t>
            </w:r>
          </w:p>
        </w:tc>
      </w:tr>
      <w:tr>
        <w:tc>
          <w:tcPr>
            <w:tcW w:type="dxa" w:w="3024"/>
          </w:tcPr>
          <w:p>
            <w:r>
              <w:rPr>
                <w:rFonts w:ascii="Times New Roman" w:hAnsi="Times New Roman"/>
                <w:sz w:val="20"/>
              </w:rPr>
              <w:t>Kategorie 2 (mittel)</w:t>
            </w:r>
          </w:p>
        </w:tc>
        <w:tc>
          <w:tcPr>
            <w:tcW w:type="dxa" w:w="3024"/>
          </w:tcPr>
          <w:p>
            <w:r>
              <w:rPr>
                <w:rFonts w:ascii="Times New Roman" w:hAnsi="Times New Roman"/>
                <w:sz w:val="20"/>
              </w:rPr>
              <w:t>Einmaliger Einsatz nicht konformer Betriebsmittel</w:t>
            </w:r>
          </w:p>
        </w:tc>
        <w:tc>
          <w:tcPr>
            <w:tcW w:type="dxa" w:w="3024"/>
          </w:tcPr>
          <w:p>
            <w:r>
              <w:rPr>
                <w:rFonts w:ascii="Times New Roman" w:hAnsi="Times New Roman"/>
                <w:sz w:val="20"/>
              </w:rPr>
              <w:t>Verwarnung, Auflagen</w:t>
            </w:r>
          </w:p>
        </w:tc>
      </w:tr>
      <w:tr>
        <w:tc>
          <w:tcPr>
            <w:tcW w:type="dxa" w:w="3024"/>
          </w:tcPr>
          <w:p>
            <w:r>
              <w:rPr>
                <w:rFonts w:ascii="Times New Roman" w:hAnsi="Times New Roman"/>
                <w:sz w:val="20"/>
              </w:rPr>
              <w:t>Kategorie 3 (schwer)</w:t>
            </w:r>
          </w:p>
        </w:tc>
        <w:tc>
          <w:tcPr>
            <w:tcW w:type="dxa" w:w="3024"/>
          </w:tcPr>
          <w:p>
            <w:r>
              <w:rPr>
                <w:rFonts w:ascii="Times New Roman" w:hAnsi="Times New Roman"/>
                <w:sz w:val="20"/>
              </w:rPr>
              <w:t>Wiederholter oder vorsätzlicher Einsatz nicht konformer Mittel</w:t>
            </w:r>
          </w:p>
        </w:tc>
        <w:tc>
          <w:tcPr>
            <w:tcW w:type="dxa" w:w="3024"/>
          </w:tcPr>
          <w:p>
            <w:r>
              <w:rPr>
                <w:rFonts w:ascii="Times New Roman" w:hAnsi="Times New Roman"/>
                <w:sz w:val="20"/>
              </w:rPr>
              <w:t>Suspendierung oder Aberkennung</w:t>
            </w:r>
          </w:p>
        </w:tc>
      </w:tr>
    </w:tbl>
    <w:p>
      <w:pPr>
        <w:jc w:val="left"/>
      </w:pPr>
      <w:r>
        <w:t xml:space="preserve">Der Einsatz von Knochenmehl der fehlerhaften Charge ist als </w:t>
      </w:r>
      <w:r>
        <w:rPr>
          <w:b/>
        </w:rPr>
        <w:t>Kategorie 2</w:t>
      </w:r>
      <w:r>
        <w:t xml:space="preserve"> einzustufen (erstmaliger, irrtumsbedingter Einsatz). Die Aberkennung (Kategorie 3) ist daher nicht verhältnismäßig.</w:t>
      </w:r>
    </w:p>
    <w:p/>
    <w:p>
      <w:pPr>
        <w:pStyle w:val="Heading2"/>
      </w:pPr>
      <w:r>
        <w:rPr>
          <w:rFonts w:ascii="Times New Roman" w:hAnsi="Times New Roman"/>
        </w:rPr>
        <w:t>3. Vergleichsfälle aus dem Bioland-Schiedsverfahren</w:t>
      </w:r>
    </w:p>
    <w:p>
      <w:pPr>
        <w:pStyle w:val="Heading3"/>
      </w:pPr>
      <w:r>
        <w:rPr>
          <w:rFonts w:ascii="Times New Roman" w:hAnsi="Times New Roman"/>
        </w:rPr>
        <w:t>Schiedsfall 2019 — Bayerischer Getreidebetrieb</w:t>
      </w:r>
    </w:p>
    <w:p>
      <w:pPr>
        <w:jc w:val="left"/>
      </w:pPr>
      <w:r>
        <w:t xml:space="preserve">In einem vergleichbaren Fall (Bioland-Schiedsstelle, Az. BS-BY-2019-0017, unveröffentlicht) wurde ein Bio-Getreidebetrieb in Bayern ebenfalls wegen des Einsatzes eines nicht freigegebenen Düngemittels (Vinasse, falsche Charge) mit einer </w:t>
      </w:r>
      <w:r>
        <w:rPr>
          <w:b/>
        </w:rPr>
        <w:t>Verwarnung nebst Auflage</w:t>
      </w:r>
      <w:r>
        <w:t xml:space="preserve"> sanktioniert statt mit Aberkennung. Das Schiedsgericht betonte, dass der erstmalige Charakter des Verstoßes und der gute Glaube des Erzeugers gegen eine Aberkennung sprechen.</w:t>
      </w:r>
    </w:p>
    <w:p/>
    <w:p>
      <w:pPr>
        <w:pStyle w:val="Heading2"/>
      </w:pPr>
      <w:r>
        <w:rPr>
          <w:rFonts w:ascii="Times New Roman" w:hAnsi="Times New Roman"/>
        </w:rPr>
        <w:t>4. Schadensersatz gegen Agrarhandel Bönninghausen</w:t>
      </w:r>
    </w:p>
    <w:p>
      <w:pPr>
        <w:pStyle w:val="Heading3"/>
      </w:pPr>
      <w:r>
        <w:rPr>
          <w:rFonts w:ascii="Times New Roman" w:hAnsi="Times New Roman"/>
        </w:rPr>
        <w:t>Anspruchsgrundlagen</w:t>
      </w:r>
    </w:p>
    <w:p>
      <w:pPr>
        <w:pStyle w:val="ListNumber"/>
      </w:pPr>
      <w:r>
        <w:rPr>
          <w:b/>
        </w:rPr>
        <w:t>§ 311 Abs. 2 BGB (culpa in contrahendo):</w:t>
      </w:r>
      <w:r>
        <w:t xml:space="preserve"> Der Händler hat bei den Vertragsverhandlungen unrichtige Angaben zur Bio-Eignung des Knochenmehls gemacht.</w:t>
      </w:r>
    </w:p>
    <w:p>
      <w:pPr>
        <w:pStyle w:val="ListNumber"/>
      </w:pPr>
      <w:r>
        <w:rPr>
          <w:b/>
        </w:rPr>
        <w:t>§ 434 Abs. 1 Nr. 2 BGB (Sachmangel):</w:t>
      </w:r>
      <w:r>
        <w:t xml:space="preserve"> Das Knochenmehl war mangelhaft, weil es nicht die vereinbarte Beschaffenheit „für Bioland-konformen Einsatz geeignet" aufwies.</w:t>
      </w:r>
    </w:p>
    <w:p>
      <w:pPr>
        <w:pStyle w:val="ListNumber"/>
      </w:pPr>
      <w:r>
        <w:rPr>
          <w:b/>
        </w:rPr>
        <w:t>§ 437 Nr. 3 BGB i.V.m. § 280 Abs. 1 BGB:</w:t>
      </w:r>
      <w:r>
        <w:t xml:space="preserve"> Schadensersatz wegen Mangelfolgeschäden (Verlust der Bioland-Zertifizierung als Folgeschaden).</w:t>
      </w:r>
    </w:p>
    <w:p>
      <w:pPr>
        <w:pStyle w:val="Heading3"/>
      </w:pPr>
      <w:r>
        <w:rPr>
          <w:rFonts w:ascii="Times New Roman" w:hAnsi="Times New Roman"/>
        </w:rPr>
        <w:t>Schadenshöhe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Entgangene Agrarumweltprämie Ökolandbau (2025, 2026)</w:t>
            </w:r>
          </w:p>
        </w:tc>
        <w:tc>
          <w:tcPr>
            <w:tcW w:type="dxa" w:w="4536"/>
          </w:tcPr>
          <w:p>
            <w:r>
              <w:rPr>
                <w:rFonts w:ascii="Times New Roman" w:hAnsi="Times New Roman"/>
                <w:sz w:val="20"/>
              </w:rPr>
              <w:t>52.780</w:t>
            </w:r>
          </w:p>
        </w:tc>
      </w:tr>
      <w:tr>
        <w:tc>
          <w:tcPr>
            <w:tcW w:type="dxa" w:w="4536"/>
          </w:tcPr>
          <w:p>
            <w:r>
              <w:rPr>
                <w:rFonts w:ascii="Times New Roman" w:hAnsi="Times New Roman"/>
                <w:sz w:val="20"/>
              </w:rPr>
              <w:t>Entgangene Bioland-Prämienaufschläge Kartoffeln/Zwiebeln</w:t>
            </w:r>
          </w:p>
        </w:tc>
        <w:tc>
          <w:tcPr>
            <w:tcW w:type="dxa" w:w="4536"/>
          </w:tcPr>
          <w:p>
            <w:r>
              <w:rPr>
                <w:rFonts w:ascii="Times New Roman" w:hAnsi="Times New Roman"/>
                <w:sz w:val="20"/>
              </w:rPr>
              <w:t>ca. 185.000 (auf 3 Jahre)</w:t>
            </w:r>
          </w:p>
        </w:tc>
      </w:tr>
      <w:tr>
        <w:tc>
          <w:tcPr>
            <w:tcW w:type="dxa" w:w="4536"/>
          </w:tcPr>
          <w:p>
            <w:r>
              <w:rPr>
                <w:rFonts w:ascii="Times New Roman" w:hAnsi="Times New Roman"/>
                <w:sz w:val="20"/>
              </w:rPr>
              <w:t>Kosten Bioland-Schiedsverfahren</w:t>
            </w:r>
          </w:p>
        </w:tc>
        <w:tc>
          <w:tcPr>
            <w:tcW w:type="dxa" w:w="4536"/>
          </w:tcPr>
          <w:p>
            <w:r>
              <w:rPr>
                <w:rFonts w:ascii="Times New Roman" w:hAnsi="Times New Roman"/>
                <w:sz w:val="20"/>
              </w:rPr>
              <w:t>ca. 3.500</w:t>
            </w:r>
          </w:p>
        </w:tc>
      </w:tr>
      <w:tr>
        <w:tc>
          <w:tcPr>
            <w:tcW w:type="dxa" w:w="4536"/>
          </w:tcPr>
          <w:p>
            <w:r>
              <w:rPr>
                <w:rFonts w:ascii="Times New Roman" w:hAnsi="Times New Roman"/>
                <w:sz w:val="20"/>
              </w:rPr>
              <w:t>Anwaltskosten</w:t>
            </w:r>
          </w:p>
        </w:tc>
        <w:tc>
          <w:tcPr>
            <w:tcW w:type="dxa" w:w="4536"/>
          </w:tcPr>
          <w:p>
            <w:r>
              <w:rPr>
                <w:rFonts w:ascii="Times New Roman" w:hAnsi="Times New Roman"/>
                <w:sz w:val="20"/>
              </w:rPr>
              <w:t>ca. 8.400</w:t>
            </w:r>
          </w:p>
        </w:tc>
      </w:tr>
      <w:tr>
        <w:tc>
          <w:tcPr>
            <w:tcW w:type="dxa" w:w="4536"/>
          </w:tcPr>
          <w:p>
            <w:r>
              <w:rPr>
                <w:rFonts w:ascii="Times New Roman" w:hAnsi="Times New Roman"/>
                <w:b/>
                <w:sz w:val="20"/>
              </w:rPr>
              <w:t>Gesamtschaden geschätzt</w:t>
            </w:r>
          </w:p>
        </w:tc>
        <w:tc>
          <w:tcPr>
            <w:tcW w:type="dxa" w:w="4536"/>
          </w:tcPr>
          <w:p>
            <w:r>
              <w:rPr>
                <w:rFonts w:ascii="Times New Roman" w:hAnsi="Times New Roman"/>
                <w:b/>
                <w:sz w:val="20"/>
              </w:rPr>
              <w:t>ca. 249.680</w:t>
            </w:r>
          </w:p>
        </w:tc>
      </w:tr>
    </w:tbl>
    <w:p>
      <w:pPr>
        <w:jc w:val="left"/>
      </w:pPr>
      <w:r>
        <w:t xml:space="preserve">Die Geltendmachung des Schadensersatzanspruchs gegen Bönninghausen sollte parallel zum Schiedsverfahren erfolgen. Ein separates Klageverfahren vor dem </w:t>
      </w:r>
      <w:r>
        <w:rPr>
          <w:b/>
        </w:rPr>
        <w:t>LG Krefeld</w:t>
      </w:r>
      <w:r>
        <w:t xml:space="preserve"> (sachliche Zuständigkeit nach § 71 Abs. 1 GVG, Streitwert über 5.000 EUR) ist vorzubereiten.</w:t>
      </w:r>
    </w:p>
    <w:p/>
    <w:p>
      <w:pPr>
        <w:pStyle w:val="Heading2"/>
      </w:pPr>
      <w:r>
        <w:rPr>
          <w:rFonts w:ascii="Times New Roman" w:hAnsi="Times New Roman"/>
        </w:rPr>
        <w:t>5. Eingabe an die Schiedsstelle Bioland — Gliederung</w:t>
      </w:r>
    </w:p>
    <w:p>
      <w:pPr>
        <w:pStyle w:val="Heading3"/>
      </w:pPr>
      <w:r>
        <w:rPr>
          <w:rFonts w:ascii="Times New Roman" w:hAnsi="Times New Roman"/>
        </w:rPr>
        <w:t>Zu erstattende Stellungnahme bis 31.03.2026</w:t>
      </w:r>
    </w:p>
    <w:p>
      <w:pPr>
        <w:pStyle w:val="ListNumber"/>
      </w:pPr>
      <w:r>
        <w:rPr>
          <w:b/>
        </w:rPr>
        <w:t>Sachverhalt:</w:t>
      </w:r>
      <w:r>
        <w:t xml:space="preserve"> Bezug des Knochenmehls, Verkäuferaussage, fehlende Kontrollstellen-Freigabe.</w:t>
      </w:r>
    </w:p>
    <w:p>
      <w:pPr>
        <w:pStyle w:val="ListNumber"/>
      </w:pPr>
      <w:r>
        <w:rPr>
          <w:b/>
        </w:rPr>
        <w:t>Verschuldensfrage:</w:t>
      </w:r>
      <w:r>
        <w:t xml:space="preserve"> Kein Vorsatz, keine grobe Fahrlässigkeit; einfache Fahrlässigkeit im Vertrauen auf Händlerangaben.</w:t>
      </w:r>
    </w:p>
    <w:p>
      <w:pPr>
        <w:pStyle w:val="ListNumber"/>
      </w:pPr>
      <w:r>
        <w:rPr>
          <w:b/>
        </w:rPr>
        <w:t>Kategorie 2 nach Bioland-Sanktionsordnung:</w:t>
      </w:r>
      <w:r>
        <w:t xml:space="preserve"> Verwarnung mit Auflage statt Aberkennung.</w:t>
      </w:r>
    </w:p>
    <w:p>
      <w:pPr>
        <w:pStyle w:val="ListNumber"/>
      </w:pPr>
      <w:r>
        <w:rPr>
          <w:b/>
        </w:rPr>
        <w:t>Auflagenvorschlag:</w:t>
      </w:r>
      <w:r>
        <w:t xml:space="preserve"> Kontrollstellen-Freigabe künftig für alle neuen Betriebsmittel; Sonderinspektion auf Kosten des Betriebs.</w:t>
      </w:r>
    </w:p>
    <w:p>
      <w:pPr>
        <w:pStyle w:val="ListNumber"/>
      </w:pPr>
      <w:r>
        <w:rPr>
          <w:b/>
        </w:rPr>
        <w:t>Antrag:</w:t>
      </w:r>
      <w:r>
        <w:t xml:space="preserve"> Aufhebung der angekündigten Aberkennung; Ausspruch einer Verwarnung.</w:t>
      </w:r>
    </w:p>
    <w:p>
      <w:pPr>
        <w:jc w:val="left"/>
      </w:pPr>
      <w:r>
        <w:rPr>
          <w:i/>
        </w:rPr>
        <w:t>Rechtsquellen: VO (EU) 2018/848, Anhang I; §§ 280, 311, 434, 437 BGB; Bioland-Sanktionsordnung; Bioland-Erzeugerrichtlinie Pflanzenbau (Stand 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