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Pachtvertrag LVR und Drainage-Investition — Detailauswertung</w:t>
      </w:r>
    </w:p>
    <w:p>
      <w:pPr>
        <w:jc w:val="left"/>
      </w:pPr>
      <w:r>
        <w:rPr>
          <w:b/>
        </w:rPr>
        <w:t>Akte:</w:t>
      </w:r>
      <w:r>
        <w:t xml:space="preserve"> AG Moers 5 C 211/26</w:t>
      </w:r>
    </w:p>
    <w:p>
      <w:pPr>
        <w:jc w:val="left"/>
      </w:pPr>
      <w:r>
        <w:rPr>
          <w:b/>
        </w:rPr>
        <w:t>Dokument-Nr.:</w:t>
      </w:r>
      <w:r>
        <w:t xml:space="preserve"> 16</w:t>
      </w:r>
    </w:p>
    <w:p>
      <w:pPr>
        <w:jc w:val="left"/>
      </w:pPr>
      <w:r>
        <w:rPr>
          <w:b/>
        </w:rPr>
        <w:t>Erstellt:</w:t>
      </w:r>
      <w:r>
        <w:t xml:space="preserve"> März 2026</w:t>
      </w:r>
    </w:p>
    <w:p/>
    <w:p>
      <w:pPr>
        <w:pStyle w:val="Heading2"/>
      </w:pPr>
      <w:r>
        <w:rPr>
          <w:rFonts w:ascii="Times New Roman" w:hAnsi="Times New Roman"/>
        </w:rPr>
        <w:t>1. Pachtvertrag vom 15. März 2010 — Wesentliche Klauseln</w:t>
      </w:r>
    </w:p>
    <w:p>
      <w:pPr>
        <w:jc w:val="left"/>
      </w:pPr>
      <w:r>
        <w:t xml:space="preserve">Der Pachtvertrag zwischen dem </w:t>
      </w:r>
      <w:r>
        <w:rPr>
          <w:b/>
        </w:rPr>
        <w:t>Landschaftsverband Rheinland (LVR)</w:t>
      </w:r>
      <w:r>
        <w:t xml:space="preserve"> als Verpächter und der </w:t>
      </w:r>
      <w:r>
        <w:rPr>
          <w:b/>
        </w:rPr>
        <w:t>Hofgemeinschaft Driessen GbR</w:t>
      </w:r>
      <w:r>
        <w:t xml:space="preserve"> als Pächterin vom 15. März 2010 (Urk.-Nr. 2010/NPV/044) enthält folgende für das Verfahren relevante Klauseln:</w:t>
      </w:r>
    </w:p>
    <w:p>
      <w:pPr>
        <w:pStyle w:val="Heading3"/>
      </w:pPr>
      <w:r>
        <w:rPr>
          <w:rFonts w:ascii="Times New Roman" w:hAnsi="Times New Roman"/>
        </w:rPr>
        <w:t>§ 3 — Pachtzins</w:t>
      </w:r>
    </w:p>
    <w:p>
      <w:pPr>
        <w:jc w:val="left"/>
      </w:pPr>
      <w:r>
        <w:rPr>
          <w:i/>
        </w:rPr>
        <w:t>„Der Pächter zahlt jährlich einen Pachtzins von 315,00 EUR je Hektar pachtfähiger Fläche, somit bei 27,5 ha einen Gesamtpachtzins von 8.662,50 EUR, zahlbar bis zum 30. April eines jeden Jahres."</w:t>
      </w:r>
    </w:p>
    <w:p>
      <w:pPr>
        <w:jc w:val="left"/>
      </w:pPr>
      <w:r>
        <w:rPr>
          <w:b/>
        </w:rPr>
        <w:t>Anpassungsklausel (Nachtrag 2018):</w:t>
      </w:r>
      <w:r>
        <w:t xml:space="preserve"> </w:t>
      </w:r>
      <w:r>
        <w:rPr>
          <w:i/>
        </w:rPr>
        <w:t>„Der Pachtzins wird im dreijährigen Turnus an den Bodenrichtwert der Gutachterausschüsse für landwirtschaftliche Flächen im Kreis Wesel angepasst. Grundlage ist die Veröffentlichung des Gutachterausschusses Wesel."</w:t>
      </w:r>
      <w:r>
        <w:t xml:space="preserve"> (Seit 2018 unverändert geblieben; Bodenrichtwert stieg, aber LVR hat keine Anpassung beantragt.)</w:t>
      </w:r>
    </w:p>
    <w:p>
      <w:pPr>
        <w:pStyle w:val="Heading3"/>
      </w:pPr>
      <w:r>
        <w:rPr>
          <w:rFonts w:ascii="Times New Roman" w:hAnsi="Times New Roman"/>
        </w:rPr>
        <w:t>§ 7 — Instandhaltung und Verbesserungen</w:t>
      </w:r>
    </w:p>
    <w:p>
      <w:pPr>
        <w:jc w:val="left"/>
      </w:pPr>
      <w:r>
        <w:rPr>
          <w:i/>
        </w:rPr>
        <w:t>„Der Pächter ist verpflichtet, die gepachteten Flächen in ordnungsgemäßem Zustand zu halten. Maßnahmen zur Verbesserung des Grundstücks (Meliorationen, Drainagen, Bodenverbesserungen) dürfen nur mit vorheriger schriftlicher Zustimmung des Verpächters vorgenommen werden. Notwendige Erhaltungsreparaturen bis zu einem Wert von 500,00 EUR je Maßnahme bedürfen keiner Zustimmung."</w:t>
      </w:r>
    </w:p>
    <w:p>
      <w:pPr>
        <w:pStyle w:val="Heading3"/>
      </w:pPr>
      <w:r>
        <w:rPr>
          <w:rFonts w:ascii="Times New Roman" w:hAnsi="Times New Roman"/>
        </w:rPr>
        <w:t>§ 9 — Aufrechnung</w:t>
      </w:r>
    </w:p>
    <w:p>
      <w:pPr>
        <w:jc w:val="left"/>
      </w:pPr>
      <w:r>
        <w:rPr>
          <w:i/>
        </w:rPr>
        <w:t>„Die Aufrechnung gegen Forderungen des Verpächters ist ausgeschlossen, soweit die Gegenforderung des Pächters nicht rechtskräftig festgestellt oder vom Verpächter ausdrücklich anerkannt ist."</w:t>
      </w:r>
    </w:p>
    <w:p>
      <w:pPr>
        <w:jc w:val="left"/>
      </w:pPr>
      <w:r>
        <w:rPr>
          <w:b/>
        </w:rPr>
        <w:t>Dieser Aufrechnungsausschluss ist für das Verfahren zentral.</w:t>
      </w:r>
    </w:p>
    <w:p/>
    <w:p>
      <w:pPr>
        <w:pStyle w:val="Heading2"/>
      </w:pPr>
      <w:r>
        <w:rPr>
          <w:rFonts w:ascii="Times New Roman" w:hAnsi="Times New Roman"/>
        </w:rPr>
        <w:t>2. Rechtliche Analyse des Aufrechnungsausschlusses</w:t>
      </w:r>
    </w:p>
    <w:p>
      <w:pPr>
        <w:pStyle w:val="Heading3"/>
      </w:pPr>
      <w:r>
        <w:rPr>
          <w:rFonts w:ascii="Times New Roman" w:hAnsi="Times New Roman"/>
        </w:rPr>
        <w:t>2.1 Wirksamkeit des Aufrechnungsverbots</w:t>
      </w:r>
    </w:p>
    <w:p>
      <w:pPr>
        <w:jc w:val="left"/>
      </w:pPr>
      <w:r>
        <w:t xml:space="preserve">§ 9 des Pachtvertrags enthält ein </w:t>
      </w:r>
      <w:r>
        <w:rPr>
          <w:b/>
        </w:rPr>
        <w:t>vertragliches Aufrechnungsverbot</w:t>
      </w:r>
      <w:r>
        <w:t xml:space="preserve"> (§ 387 BGB kann vertraglich abbedungen werden, BGH NJW 2007, 2114). Ein solches Verbot ist nach der Rechtsprechung grundsätzlich wirksam. Es scheitert jedoch, wenn:</w:t>
      </w:r>
    </w:p>
    <w:p>
      <w:pPr>
        <w:jc w:val="left"/>
      </w:pPr>
      <w:r>
        <w:t xml:space="preserve">a) Die Gegenforderung </w:t>
      </w:r>
      <w:r>
        <w:rPr>
          <w:b/>
        </w:rPr>
        <w:t>unbestreitbar</w:t>
      </w:r>
      <w:r>
        <w:t xml:space="preserve"> ist (§ 242 BGB — Treu und Glauben);</w:t>
      </w:r>
    </w:p>
    <w:p>
      <w:pPr>
        <w:jc w:val="left"/>
      </w:pPr>
      <w:r>
        <w:t>b) Die Gegenforderung auf einer vorsätzlichen oder grob fahrlässigen Pflichtverletzung des Vertragspartners beruht (BGHZ 74, 370);</w:t>
      </w:r>
    </w:p>
    <w:p>
      <w:pPr>
        <w:jc w:val="left"/>
      </w:pPr>
      <w:r>
        <w:t xml:space="preserve">c) Ein </w:t>
      </w:r>
      <w:r>
        <w:rPr>
          <w:b/>
        </w:rPr>
        <w:t>Schriftformerfordernis</w:t>
      </w:r>
      <w:r>
        <w:t xml:space="preserve"> gemäß § 586 BGB analog auf Landpacht vorliegt und die Aufrechnungsklausel unklar ist.</w:t>
      </w:r>
    </w:p>
    <w:p>
      <w:pPr>
        <w:jc w:val="left"/>
      </w:pPr>
      <w:r>
        <w:t>Hier ist Buchstabe (b) zu prüfen: Hat der LVR oder sein Beauftragter (Liegenschaftsbeamter Richter) durch mündliche Zusage, die er später nicht hielt, eine Pflichtverletzung begangen?</w:t>
      </w:r>
    </w:p>
    <w:p>
      <w:pPr>
        <w:pStyle w:val="Heading3"/>
      </w:pPr>
      <w:r>
        <w:rPr>
          <w:rFonts w:ascii="Times New Roman" w:hAnsi="Times New Roman"/>
        </w:rPr>
        <w:t>2.2 Rechtsfolge: Aufrechnung trotz Vertragsverbot?</w:t>
      </w:r>
    </w:p>
    <w:p>
      <w:pPr>
        <w:jc w:val="left"/>
      </w:pPr>
      <w:r>
        <w:t>Nach BGH, Urt. v. 22.09.2016 — IX ZR 165/15 (NJW 2016, 3437) kann ein vertragliches Aufrechnungsverbot nach § 242 BGB durchbrochen werden, wenn die Durchsetzung des Verbots im Einzelfall gegen Treu und Glauben verstößt. Voraussetzung: Die Gegenforderung ist so eng mit der Hauptforderung verknüpft, dass die Trennung unzumutbar erscheint (sog. Konnexität). Pachtzins und Drainageaufwendungen für die Pachtfläche sind konnex.</w:t>
      </w:r>
    </w:p>
    <w:p/>
    <w:p>
      <w:pPr>
        <w:pStyle w:val="Heading2"/>
      </w:pPr>
      <w:r>
        <w:rPr>
          <w:rFonts w:ascii="Times New Roman" w:hAnsi="Times New Roman"/>
        </w:rPr>
        <w:t>3. Drainage-Maßnahme 2023 — Dokumentation</w:t>
      </w:r>
    </w:p>
    <w:p>
      <w:pPr>
        <w:pStyle w:val="Heading3"/>
      </w:pPr>
      <w:r>
        <w:rPr>
          <w:rFonts w:ascii="Times New Roman" w:hAnsi="Times New Roman"/>
        </w:rPr>
        <w:t>3.1 Sachverhalt im Detail</w:t>
      </w:r>
    </w:p>
    <w:p>
      <w:pPr>
        <w:jc w:val="left"/>
      </w:pPr>
      <w:r>
        <w:t xml:space="preserve">Im </w:t>
      </w:r>
      <w:r>
        <w:rPr>
          <w:b/>
        </w:rPr>
        <w:t>Frühjahr 2023</w:t>
      </w:r>
      <w:r>
        <w:t xml:space="preserve"> (Maßnahmenbeginn: 15. März 2023, Abschluss: 28. April 2023) ließ Hartmut Driessen auf den LVR-Pachtschlägen 12c und 12d eine Drainageanlage einbauen (Betonfilterdrain DN 100, ca. 1.840 lfm). Die Maßnahme war erforderlich, weil die Flächen aufgrund von Grundwasseranstieg in der Schwalmaue (dokumentiert in Biologische-Station-Bericht 2022) zunehmend Staunässe aufwiesen, was die landwirtschaftliche Nutzbarkeit und die Naturschutzfunktion (Wiesenbrüter-Beweidung) beeinträchtigte.</w:t>
      </w:r>
    </w:p>
    <w:p>
      <w:pPr>
        <w:jc w:val="left"/>
      </w:pPr>
      <w:r>
        <w:rPr>
          <w:b/>
        </w:rPr>
        <w:t>Baufirma:</w:t>
      </w:r>
      <w:r>
        <w:t xml:space="preserve"> Drainagefirma Krauter Tiefbau GmbH, Xantener Straße 14, 47506 Neukirchen-Vluyn.</w:t>
      </w:r>
    </w:p>
    <w:p>
      <w:pPr>
        <w:jc w:val="left"/>
      </w:pPr>
      <w:r>
        <w:rPr>
          <w:b/>
        </w:rPr>
        <w:t>Kosten:</w:t>
      </w:r>
      <w:r>
        <w:t xml:space="preserve"> 19.840 EUR netto (Rechnung Nr. 2023/DR-0488, Datum 10.05.2023).</w:t>
      </w:r>
    </w:p>
    <w:p>
      <w:pPr>
        <w:pStyle w:val="Heading3"/>
      </w:pPr>
      <w:r>
        <w:rPr>
          <w:rFonts w:ascii="Times New Roman" w:hAnsi="Times New Roman"/>
        </w:rPr>
        <w:t>3.2 Mündliche Zustimmung durch LVR</w:t>
      </w:r>
    </w:p>
    <w:p>
      <w:pPr>
        <w:jc w:val="left"/>
      </w:pPr>
      <w:r>
        <w:t xml:space="preserve">Hartmut Driessen hatte die Drainage-Maßnahme im </w:t>
      </w:r>
      <w:r>
        <w:rPr>
          <w:b/>
        </w:rPr>
        <w:t>Dezember 2022</w:t>
      </w:r>
      <w:r>
        <w:t xml:space="preserve"> mit dem zuständigen LVR-Liegenschaftsbeamten </w:t>
      </w:r>
      <w:r>
        <w:rPr>
          <w:b/>
        </w:rPr>
        <w:t>Herrn Rudolf Richter</w:t>
      </w:r>
      <w:r>
        <w:t xml:space="preserve"> (Referat Liegenschaften, LVR-Dezernat 3, Köln) in einem Telefongespräch besprochen. Herr Richter erklärte laut Driessen sinngemäß: </w:t>
      </w:r>
      <w:r>
        <w:rPr>
          <w:i/>
        </w:rPr>
        <w:t>„Das ist eine sinnvolle Investition, machen Sie das ruhig."</w:t>
      </w:r>
      <w:r>
        <w:t xml:space="preserve"> Eine schriftliche Bestätigung wurde nicht eingeholt.</w:t>
      </w:r>
    </w:p>
    <w:p>
      <w:pPr>
        <w:jc w:val="left"/>
      </w:pPr>
      <w:r>
        <w:rPr>
          <w:b/>
        </w:rPr>
        <w:t>Zeugenaussage erforderlich:</w:t>
      </w:r>
      <w:r>
        <w:t xml:space="preserve"> Rudolf Richter, LVR, ist als Zeuge zu benennen. Außerdem: Mitarbeiterin Almut Driessen, die das Gespräch am Lautsprecher mithörte.</w:t>
      </w:r>
    </w:p>
    <w:p>
      <w:pPr>
        <w:pStyle w:val="Heading3"/>
      </w:pPr>
      <w:r>
        <w:rPr>
          <w:rFonts w:ascii="Times New Roman" w:hAnsi="Times New Roman"/>
        </w:rPr>
        <w:t>3.3 Wert der Drainage für den Verpächter</w:t>
      </w:r>
    </w:p>
    <w:p>
      <w:pPr>
        <w:jc w:val="left"/>
      </w:pPr>
      <w:r>
        <w:t>Ein Sachverständigengutachten (Landwirtschaftliche Bewertungsstelle Kreis Wesel) sollte die Wertsteigerung der LVR-Fläche durch die Drainage beziffern. Zu erwartende Schätzung: Wertsteigerung ca. 12.000–18.000 EUR (Kapitalisierung des erhöhten Pachtwertes von ca. 45 EUR/ha/Jahr auf 27,5 ha × Kapitalisierungsfaktor 10).</w:t>
      </w:r>
    </w:p>
    <w:p/>
    <w:p>
      <w:pPr>
        <w:pStyle w:val="Heading2"/>
      </w:pPr>
      <w:r>
        <w:rPr>
          <w:rFonts w:ascii="Times New Roman" w:hAnsi="Times New Roman"/>
        </w:rPr>
        <w:t>4. Klageerwiderung AG Moers — Strategie</w:t>
      </w:r>
    </w:p>
    <w:p>
      <w:pPr>
        <w:pStyle w:val="Heading3"/>
      </w:pPr>
      <w:r>
        <w:rPr>
          <w:rFonts w:ascii="Times New Roman" w:hAnsi="Times New Roman"/>
        </w:rPr>
        <w:t>Primärverteidigung</w:t>
      </w:r>
    </w:p>
    <w:p>
      <w:pPr>
        <w:pStyle w:val="ListNumber"/>
      </w:pPr>
      <w:r>
        <w:rPr>
          <w:b/>
        </w:rPr>
        <w:t>Zahlung Pachtzins 2024 belegt:</w:t>
      </w:r>
      <w:r>
        <w:t xml:space="preserve"> LVR irrt sich bei der Verbuchung. Kontoauszug Volksbank Niederrhein als Anlage K 1.</w:t>
      </w:r>
    </w:p>
    <w:p>
      <w:pPr>
        <w:pStyle w:val="ListNumber"/>
      </w:pPr>
      <w:r>
        <w:rPr>
          <w:b/>
        </w:rPr>
        <w:t>Aufrechnung Pachtzins 2025 wirksam</w:t>
      </w:r>
      <w:r>
        <w:t xml:space="preserve"> trotz vertraglichem Aufrechnungsverbot nach § 242 BGB (Konnexität, BGH IX ZR 165/15).</w:t>
      </w:r>
    </w:p>
    <w:p>
      <w:pPr>
        <w:pStyle w:val="ListNumber"/>
      </w:pPr>
      <w:r>
        <w:rPr>
          <w:b/>
        </w:rPr>
        <w:t>§ 591 BGB Verwendungsersatz:</w:t>
      </w:r>
      <w:r>
        <w:t xml:space="preserve"> Anspruch auf Ersatz der Drainagekosten aus Pächteraufwendungen.</w:t>
      </w:r>
    </w:p>
    <w:p>
      <w:pPr>
        <w:pStyle w:val="ListNumber"/>
      </w:pPr>
      <w:r>
        <w:rPr>
          <w:b/>
        </w:rPr>
        <w:t>Treuwidrigkeit des Verbots</w:t>
      </w:r>
      <w:r>
        <w:t xml:space="preserve"> nach § 242 BGB: Der LVR kann nach mündlicher Zusage nicht die Aufrechnung verweigern (venire contra factum proprium).</w:t>
      </w:r>
    </w:p>
    <w:p>
      <w:pPr>
        <w:pStyle w:val="Heading3"/>
      </w:pPr>
      <w:r>
        <w:rPr>
          <w:rFonts w:ascii="Times New Roman" w:hAnsi="Times New Roman"/>
        </w:rPr>
        <w:t>Eventualantrag</w:t>
      </w:r>
    </w:p>
    <w:p>
      <w:pPr>
        <w:jc w:val="left"/>
      </w:pPr>
      <w:r>
        <w:t>Falls Aufrechnung scheitert: Widerklage auf Zahlung von 19.840 EUR (Drainagekosten) nach §§ 591, 683, 670 BGB, Zug um Zug gegen Zahlung des streitigen Pachtzinses 2025.</w:t>
      </w:r>
    </w:p>
    <w:p>
      <w:pPr>
        <w:pStyle w:val="Heading3"/>
      </w:pPr>
      <w:r>
        <w:rPr>
          <w:rFonts w:ascii="Times New Roman" w:hAnsi="Times New Roman"/>
        </w:rPr>
        <w:t>Räumungsschutz</w:t>
      </w:r>
    </w:p>
    <w:p>
      <w:pPr>
        <w:jc w:val="left"/>
      </w:pPr>
      <w:r>
        <w:t>Falls der LVR Räumungsklage erhält und vollstreckt: Antrag nach § 765a ZPO (Vollstreckungsschutz) wegen unverhältnismäßiger Härte (Naturschutz-Beweidung, laufender Kooperationsvertrag mit Biologischer Station, LIFE-Förderung).</w:t>
      </w:r>
    </w:p>
    <w:p>
      <w:pPr>
        <w:jc w:val="left"/>
      </w:pPr>
      <w:r>
        <w:rPr>
          <w:i/>
        </w:rPr>
        <w:t>Rechtsquellen: § 387 BGB; § 242 BGB; § 591 BGB; § 594e BGB; §§ 683, 670 BGB; § 765a ZPO; BGH IX ZR 165/15 (bundesgerichtshof.de, NJW 2016, 3437); BGHZ 74, 370.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