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Höfeordnungsverfahren OLG Düsseldorf — Vorbereitung Stellungnahme</w:t>
      </w:r>
    </w:p>
    <w:p>
      <w:pPr>
        <w:jc w:val="left"/>
      </w:pPr>
      <w:r>
        <w:rPr>
          <w:b/>
        </w:rPr>
        <w:t>Akte:</w:t>
      </w:r>
      <w:r>
        <w:t xml:space="preserve"> OLG Düsseldorf I-25 W 17/26</w:t>
      </w:r>
    </w:p>
    <w:p>
      <w:pPr>
        <w:jc w:val="left"/>
      </w:pPr>
      <w:r>
        <w:rPr>
          <w:b/>
        </w:rPr>
        <w:t>Dokument-Nr.:</w:t>
      </w:r>
      <w:r>
        <w:t xml:space="preserve"> 17</w:t>
      </w:r>
    </w:p>
    <w:p>
      <w:pPr>
        <w:jc w:val="left"/>
      </w:pPr>
      <w:r>
        <w:rPr>
          <w:b/>
        </w:rPr>
        <w:t>Erstellt:</w:t>
      </w:r>
      <w:r>
        <w:t xml:space="preserve"> März 2026</w:t>
      </w:r>
    </w:p>
    <w:p/>
    <w:p>
      <w:pPr>
        <w:pStyle w:val="Heading2"/>
      </w:pPr>
      <w:r>
        <w:rPr>
          <w:rFonts w:ascii="Times New Roman" w:hAnsi="Times New Roman"/>
        </w:rPr>
        <w:t>1. Verfahrensstand beim OLG Düsseldorf</w:t>
      </w:r>
    </w:p>
    <w:p>
      <w:pPr>
        <w:jc w:val="left"/>
      </w:pPr>
      <w:r>
        <w:t xml:space="preserve">Das </w:t>
      </w:r>
      <w:r>
        <w:rPr>
          <w:b/>
        </w:rPr>
        <w:t>OLG Düsseldorf</w:t>
      </w:r>
      <w:r>
        <w:t xml:space="preserve"> (Landwirtschaftssenat, Az. I-25 W 17/26) hat die beteiligten Personen mit Beschluss vom </w:t>
      </w:r>
      <w:r>
        <w:rPr>
          <w:b/>
        </w:rPr>
        <w:t>12. Februar 2026</w:t>
      </w:r>
      <w:r>
        <w:t xml:space="preserve"> aufgefordert, zum Inhalt des beantragten Höfe-Übergabevertrags und zur Frage der Anwendbarkeit der Höfeordnung Stellung zu nehmen. Die Frist läuft bis zum </w:t>
      </w:r>
      <w:r>
        <w:rPr>
          <w:b/>
        </w:rPr>
        <w:t>15. April 2026</w:t>
      </w:r>
      <w:r>
        <w:t>.</w:t>
      </w:r>
    </w:p>
    <w:p>
      <w:pPr>
        <w:jc w:val="left"/>
      </w:pPr>
      <w:r>
        <w:rPr>
          <w:b/>
        </w:rPr>
        <w:t>Beteiligte des OLG-Verfahrens:</w:t>
      </w:r>
    </w:p>
    <w:p>
      <w:pPr>
        <w:pStyle w:val="ListBullet"/>
      </w:pPr>
      <w:r>
        <w:t>Hartmut Driessen (Antragsteller; Hofübertragung an Tochter Mareike)</w:t>
      </w:r>
    </w:p>
    <w:p>
      <w:pPr>
        <w:pStyle w:val="ListBullet"/>
      </w:pPr>
      <w:r>
        <w:t>Mareike Driessen (Antragstellerin; Hoferbin)</w:t>
      </w:r>
    </w:p>
    <w:p>
      <w:pPr>
        <w:pStyle w:val="ListBullet"/>
      </w:pPr>
      <w:r>
        <w:t>Mathis Driessen (Beteiligter; weichender Miterbe, RA Henseler, Köln)</w:t>
      </w:r>
    </w:p>
    <w:p>
      <w:pPr>
        <w:pStyle w:val="ListBullet"/>
      </w:pPr>
      <w:r>
        <w:t>Almut Driessen (Beteiligte; Mitunternehmerin, keine eigene Hoferbeneigenschaft)</w:t>
      </w:r>
    </w:p>
    <w:p/>
    <w:p>
      <w:pPr>
        <w:pStyle w:val="Heading2"/>
      </w:pPr>
      <w:r>
        <w:rPr>
          <w:rFonts w:ascii="Times New Roman" w:hAnsi="Times New Roman"/>
        </w:rPr>
        <w:t>2. Hofvermerk und Hofeigenschaft</w:t>
      </w:r>
    </w:p>
    <w:p>
      <w:pPr>
        <w:pStyle w:val="Heading3"/>
      </w:pPr>
      <w:r>
        <w:rPr>
          <w:rFonts w:ascii="Times New Roman" w:hAnsi="Times New Roman"/>
        </w:rPr>
        <w:t>Grundbucheintragung</w:t>
      </w:r>
    </w:p>
    <w:p>
      <w:pPr>
        <w:jc w:val="left"/>
      </w:pPr>
      <w:r>
        <w:t xml:space="preserve">Im </w:t>
      </w:r>
      <w:r>
        <w:rPr>
          <w:b/>
        </w:rPr>
        <w:t>Grundbuch AG Moers, Grundbuch Sonsbeck Blatt 2741</w:t>
      </w:r>
      <w:r>
        <w:t xml:space="preserve"> ist als Hofvermerk eingetragen: </w:t>
      </w:r>
      <w:r>
        <w:rPr>
          <w:i/>
        </w:rPr>
        <w:t>„Hof gemäß § 1 Abs. 1 HöfeO"</w:t>
      </w:r>
      <w:r>
        <w:t>. Diese Eintragung wurde am 04. November 2003 anlässlich des Erbfalls nach Großvater Heinrich Driessen vorgenommen.</w:t>
      </w:r>
    </w:p>
    <w:p>
      <w:pPr>
        <w:jc w:val="left"/>
      </w:pPr>
      <w:r>
        <w:t>Der Hofvermerk hat konstitutive Wirkung: Ein Grundstück gilt nur dann als Hof i.S.d. HöfeO, wenn es im Grundbuch mit dem Hofvermerk eingetragen ist (§ 1 Abs. 1 Satz 4 HöfeO).</w:t>
      </w:r>
    </w:p>
    <w:p>
      <w:pPr>
        <w:pStyle w:val="Heading3"/>
      </w:pPr>
      <w:r>
        <w:rPr>
          <w:rFonts w:ascii="Times New Roman" w:hAnsi="Times New Roman"/>
        </w:rPr>
        <w:t>Voraussetzungen der Hofeigenschaft</w:t>
      </w:r>
    </w:p>
    <w:p>
      <w:pPr>
        <w:jc w:val="left"/>
      </w:pPr>
      <w:r>
        <w:t>§ 1 Abs. 1 HöfeO definiert einen Hof als ein im Gebiet der anwendenden Länder (u.a. NRW) gelegenes land- oder forstwirtschaftliches Unternehmen mit einer zu seiner Bewirtschaftung geeigneten Hofstelle, das entweder ein Wirtschaftswert von mindestens 10.000 EUR hat (§ 1 Abs. 1 Satz 2 HöfeO). Der Wirtschaftswert des Betriebs Driessen übersteigt 10.000 EUR erheblich (ca. 1,4 Mio. EUR nach vorläufiger Schätzung).</w:t>
      </w:r>
    </w:p>
    <w:p/>
    <w:p>
      <w:pPr>
        <w:pStyle w:val="Heading2"/>
      </w:pPr>
      <w:r>
        <w:rPr>
          <w:rFonts w:ascii="Times New Roman" w:hAnsi="Times New Roman"/>
        </w:rPr>
        <w:t>3. Mathis Driesens Einwände</w:t>
      </w:r>
    </w:p>
    <w:p>
      <w:pPr>
        <w:pStyle w:val="Heading3"/>
      </w:pPr>
      <w:r>
        <w:rPr>
          <w:rFonts w:ascii="Times New Roman" w:hAnsi="Times New Roman"/>
        </w:rPr>
        <w:t>3.1 Einwand: Fehlende Landwirtschafts-Qualifikation der Hoferbin</w:t>
      </w:r>
    </w:p>
    <w:p>
      <w:pPr>
        <w:jc w:val="left"/>
      </w:pPr>
      <w:r>
        <w:t xml:space="preserve">Mathis lässt durch RA Henseler vortragen, Tochter Mareike Driessen sei derzeit lediglich im zweiten Semester des Bachelor-Studiums Agrarwissenschaften und verfüge nicht über die für die Hofübernahme erforderliche </w:t>
      </w:r>
      <w:r>
        <w:rPr>
          <w:b/>
        </w:rPr>
        <w:t>Landwirtschaftliche Berufsqualifikation</w:t>
      </w:r>
      <w:r>
        <w:t xml:space="preserve"> (§ 6 Abs. 2 Satz 1 HöfeO: Hoferbe muss zur ordnungsgemäßen Bewirtschaftung geeignet sein).</w:t>
      </w:r>
    </w:p>
    <w:p>
      <w:pPr>
        <w:jc w:val="left"/>
      </w:pPr>
      <w:r>
        <w:rPr>
          <w:b/>
        </w:rPr>
        <w:t>Gegenargument:</w:t>
      </w:r>
      <w:r>
        <w:t xml:space="preserve"> Die Eignung im Sinne von § 6 Abs. 2 HöfeO ist kein Berufsabschluss-Erfordernis, sondern eine Prognoseentscheidung. Das OVG NRW (OVG NRW, Beschl. v. 09.03.2012 — 10 A 1442/10, openjur.de) hat entschieden, dass ein im Betrieb aufgewachsenes Kind, das ein einschlägiges Studium aufgenommen hat und voraussichtlich die Bewirtschaftung übernehmen wird, als geeigneter Hoferbe anzusehen ist, auch wenn der Studienabschluss noch aussteht. Mareike ist seit ihrer Kindheit im Betrieb aktiv; ihre praktische Eignung steht außer Frage.</w:t>
      </w:r>
    </w:p>
    <w:p>
      <w:pPr>
        <w:pStyle w:val="Heading3"/>
      </w:pPr>
      <w:r>
        <w:rPr>
          <w:rFonts w:ascii="Times New Roman" w:hAnsi="Times New Roman"/>
        </w:rPr>
        <w:t>3.2 Einwand: Kein privilegierter Hoferbe</w:t>
      </w:r>
    </w:p>
    <w:p>
      <w:pPr>
        <w:jc w:val="left"/>
      </w:pPr>
      <w:r>
        <w:t>Mathis macht geltend, es gebe keinen zwingenden Grund, Mareike als Hoferbin gegenüber ihm zu bevorzugen. Nach § 6 Abs. 1 HöfeO bestimmt der Erblasser durch Testament oder Erbvertrag den Hoferben. Hartmut hat bislang kein Testament errichtet; im gesetzlichen Erbfall würden Mareike und Mathis gleichteilig erben (§ 4 Abs. 1 HöfeO: Gesetzliche Erbfolge: Kinder zu gleichen Teilen als Miterben).</w:t>
      </w:r>
    </w:p>
    <w:p>
      <w:pPr>
        <w:jc w:val="left"/>
      </w:pPr>
      <w:r>
        <w:rPr>
          <w:b/>
        </w:rPr>
        <w:t>Gegenargument:</w:t>
      </w:r>
      <w:r>
        <w:t xml:space="preserve"> Hartmut Driessen hat nunmehr einen </w:t>
      </w:r>
      <w:r>
        <w:rPr>
          <w:b/>
        </w:rPr>
        <w:t>Erbvertrag</w:t>
      </w:r>
      <w:r>
        <w:t xml:space="preserve"> (§ 2274 ff. BGB) zugunsten Mareikes in Vorbereitung. Als Hofnachfolge-Vertrag im Sinne von § 17 HöfeO kann die lebzeitige Übergabe an Mareike als Hoferbin erfolgen, wenn die gesetzlichen Voraussetzungen der HöfeO eingehalten werden.</w:t>
      </w:r>
    </w:p>
    <w:p>
      <w:pPr>
        <w:pStyle w:val="Heading3"/>
      </w:pPr>
      <w:r>
        <w:rPr>
          <w:rFonts w:ascii="Times New Roman" w:hAnsi="Times New Roman"/>
        </w:rPr>
        <w:t>3.3 Einwand: Höherer Hofwert anzusetzen</w:t>
      </w:r>
    </w:p>
    <w:p>
      <w:pPr>
        <w:jc w:val="left"/>
      </w:pPr>
      <w:r>
        <w:t xml:space="preserve">Mathis begehrt, bei der Berechnung der Abfindung nach § 12 HöfeO den </w:t>
      </w:r>
      <w:r>
        <w:rPr>
          <w:b/>
        </w:rPr>
        <w:t>Verkehrswert</w:t>
      </w:r>
      <w:r>
        <w:t xml:space="preserve"> und nicht den Ertragswert zugrunde zu legen, da der Ertragswert die tatsächliche Wertsteigerung des Bodens (Niederrhein-Bodenpreise) nicht abbilde.</w:t>
      </w:r>
    </w:p>
    <w:p>
      <w:pPr>
        <w:jc w:val="left"/>
      </w:pPr>
      <w:r>
        <w:rPr>
          <w:b/>
        </w:rPr>
        <w:t>Gegenargument:</w:t>
      </w:r>
      <w:r>
        <w:t xml:space="preserve"> § 12 Abs. 2 HöfeO schreibt den Ertragswert (Hofwert) ausdrücklich vor. Das BVerfG hat die Verfassungsmäßigkeit des Ertragswert-Prinzips bestätigt (BVerfGE 141, 1 — Beschluss v. 12.01.2016, 1 BvR 3102/13). Eine Abkehr vom Ertragswert würde den Schutzzweck der HöfeO (Erhalt landwirtschaftlicher Unternehmen) aushöhlen.</w:t>
      </w:r>
    </w:p>
    <w:p/>
    <w:p>
      <w:pPr>
        <w:pStyle w:val="Heading2"/>
      </w:pPr>
      <w:r>
        <w:rPr>
          <w:rFonts w:ascii="Times New Roman" w:hAnsi="Times New Roman"/>
        </w:rPr>
        <w:t>4. Hofwert-Berechnung nach § 12 HöfeO</w:t>
      </w:r>
    </w:p>
    <w:p>
      <w:pPr>
        <w:pStyle w:val="Heading3"/>
      </w:pPr>
      <w:r>
        <w:rPr>
          <w:rFonts w:ascii="Times New Roman" w:hAnsi="Times New Roman"/>
        </w:rPr>
        <w:t>4.1 Berechnungsgrundlage</w:t>
      </w:r>
    </w:p>
    <w:p>
      <w:pPr>
        <w:jc w:val="left"/>
      </w:pPr>
      <w:r>
        <w:t xml:space="preserve">Nach § 12 Abs. 2 HöfeO i.V.m. der </w:t>
      </w:r>
      <w:r>
        <w:rPr>
          <w:b/>
        </w:rPr>
        <w:t>Höfeordnungs-Bekanntmachung NRW</w:t>
      </w:r>
      <w:r>
        <w:t xml:space="preserve"> ergibt sich der Hofwert aus:</w:t>
      </w:r>
    </w:p>
    <w:p>
      <w:pPr>
        <w:jc w:val="left"/>
      </w:pPr>
      <w:r>
        <w:rPr>
          <w:i/>
        </w:rPr>
        <w:t>Hofwert = Reiner Ertrag × Vielfaches (15)</w:t>
      </w:r>
    </w:p>
    <w:p>
      <w:pPr>
        <w:jc w:val="left"/>
      </w:pPr>
      <w:r>
        <w:t xml:space="preserve">Der </w:t>
      </w:r>
      <w:r>
        <w:rPr>
          <w:b/>
        </w:rPr>
        <w:t>Reine Ertrag</w:t>
      </w:r>
      <w:r>
        <w:t xml:space="preserve"> wird nach dem landwirtschaftlichen Ertragswert berechnet: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Fläche</w:t>
            </w:r>
          </w:p>
        </w:tc>
        <w:tc>
          <w:tcPr>
            <w:tcW w:type="dxa" w:w="2268"/>
          </w:tcPr>
          <w:p>
            <w:r>
              <w:rPr>
                <w:rFonts w:ascii="Times New Roman" w:hAnsi="Times New Roman"/>
                <w:b/>
                <w:sz w:val="20"/>
              </w:rPr>
              <w:t>ha</w:t>
            </w:r>
          </w:p>
        </w:tc>
        <w:tc>
          <w:tcPr>
            <w:tcW w:type="dxa" w:w="2268"/>
          </w:tcPr>
          <w:p>
            <w:r>
              <w:rPr>
                <w:rFonts w:ascii="Times New Roman" w:hAnsi="Times New Roman"/>
                <w:b/>
                <w:sz w:val="20"/>
              </w:rPr>
              <w:t>Bewertung (EUR/ha)</w:t>
            </w:r>
          </w:p>
        </w:tc>
        <w:tc>
          <w:tcPr>
            <w:tcW w:type="dxa" w:w="2268"/>
          </w:tcPr>
          <w:p>
            <w:r>
              <w:rPr>
                <w:rFonts w:ascii="Times New Roman" w:hAnsi="Times New Roman"/>
                <w:b/>
                <w:sz w:val="20"/>
              </w:rPr>
              <w:t>Ertragswert (EUR)</w:t>
            </w:r>
          </w:p>
        </w:tc>
      </w:tr>
      <w:tr>
        <w:tc>
          <w:tcPr>
            <w:tcW w:type="dxa" w:w="2268"/>
          </w:tcPr>
          <w:p>
            <w:r>
              <w:rPr>
                <w:rFonts w:ascii="Times New Roman" w:hAnsi="Times New Roman"/>
                <w:sz w:val="20"/>
              </w:rPr>
              <w:t>Eigene Ackerfläche (hohe Bonität, Niederrhein)</w:t>
            </w:r>
          </w:p>
        </w:tc>
        <w:tc>
          <w:tcPr>
            <w:tcW w:type="dxa" w:w="2268"/>
          </w:tcPr>
          <w:p>
            <w:r>
              <w:rPr>
                <w:rFonts w:ascii="Times New Roman" w:hAnsi="Times New Roman"/>
                <w:sz w:val="20"/>
              </w:rPr>
              <w:t>130</w:t>
            </w:r>
          </w:p>
        </w:tc>
        <w:tc>
          <w:tcPr>
            <w:tcW w:type="dxa" w:w="2268"/>
          </w:tcPr>
          <w:p>
            <w:r>
              <w:rPr>
                <w:rFonts w:ascii="Times New Roman" w:hAnsi="Times New Roman"/>
                <w:sz w:val="20"/>
              </w:rPr>
              <w:t>850</w:t>
            </w:r>
          </w:p>
        </w:tc>
        <w:tc>
          <w:tcPr>
            <w:tcW w:type="dxa" w:w="2268"/>
          </w:tcPr>
          <w:p>
            <w:r>
              <w:rPr>
                <w:rFonts w:ascii="Times New Roman" w:hAnsi="Times New Roman"/>
                <w:sz w:val="20"/>
              </w:rPr>
              <w:t>110.500</w:t>
            </w:r>
          </w:p>
        </w:tc>
      </w:tr>
      <w:tr>
        <w:tc>
          <w:tcPr>
            <w:tcW w:type="dxa" w:w="2268"/>
          </w:tcPr>
          <w:p>
            <w:r>
              <w:rPr>
                <w:rFonts w:ascii="Times New Roman" w:hAnsi="Times New Roman"/>
                <w:sz w:val="20"/>
              </w:rPr>
              <w:t>Eigene Dauergrünland und Sonderkulturen</w:t>
            </w:r>
          </w:p>
        </w:tc>
        <w:tc>
          <w:tcPr>
            <w:tcW w:type="dxa" w:w="2268"/>
          </w:tcPr>
          <w:p>
            <w:r>
              <w:rPr>
                <w:rFonts w:ascii="Times New Roman" w:hAnsi="Times New Roman"/>
                <w:sz w:val="20"/>
              </w:rPr>
              <w:t>55</w:t>
            </w:r>
          </w:p>
        </w:tc>
        <w:tc>
          <w:tcPr>
            <w:tcW w:type="dxa" w:w="2268"/>
          </w:tcPr>
          <w:p>
            <w:r>
              <w:rPr>
                <w:rFonts w:ascii="Times New Roman" w:hAnsi="Times New Roman"/>
                <w:sz w:val="20"/>
              </w:rPr>
              <w:t>620</w:t>
            </w:r>
          </w:p>
        </w:tc>
        <w:tc>
          <w:tcPr>
            <w:tcW w:type="dxa" w:w="2268"/>
          </w:tcPr>
          <w:p>
            <w:r>
              <w:rPr>
                <w:rFonts w:ascii="Times New Roman" w:hAnsi="Times New Roman"/>
                <w:sz w:val="20"/>
              </w:rPr>
              <w:t>34.100</w:t>
            </w:r>
          </w:p>
        </w:tc>
      </w:tr>
      <w:tr>
        <w:tc>
          <w:tcPr>
            <w:tcW w:type="dxa" w:w="2268"/>
          </w:tcPr>
          <w:p>
            <w:r>
              <w:rPr>
                <w:rFonts w:ascii="Times New Roman" w:hAnsi="Times New Roman"/>
                <w:sz w:val="20"/>
              </w:rPr>
              <w:t>Maschinen (Zeitwert, kapitalisiert)</w:t>
            </w:r>
          </w:p>
        </w:tc>
        <w:tc>
          <w:tcPr>
            <w:tcW w:type="dxa" w:w="2268"/>
          </w:tcPr>
          <w:p>
            <w:r>
              <w:rPr>
                <w:rFonts w:ascii="Times New Roman" w:hAnsi="Times New Roman"/>
                <w:sz w:val="20"/>
              </w:rPr>
              <w:t>—</w:t>
            </w:r>
          </w:p>
        </w:tc>
        <w:tc>
          <w:tcPr>
            <w:tcW w:type="dxa" w:w="2268"/>
          </w:tcPr>
          <w:p>
            <w:r>
              <w:rPr>
                <w:rFonts w:ascii="Times New Roman" w:hAnsi="Times New Roman"/>
                <w:sz w:val="20"/>
              </w:rPr>
              <w:t>—</w:t>
            </w:r>
          </w:p>
        </w:tc>
        <w:tc>
          <w:tcPr>
            <w:tcW w:type="dxa" w:w="2268"/>
          </w:tcPr>
          <w:p>
            <w:r>
              <w:rPr>
                <w:rFonts w:ascii="Times New Roman" w:hAnsi="Times New Roman"/>
                <w:sz w:val="20"/>
              </w:rPr>
              <w:t>18.000</w:t>
            </w:r>
          </w:p>
        </w:tc>
      </w:tr>
      <w:tr>
        <w:tc>
          <w:tcPr>
            <w:tcW w:type="dxa" w:w="2268"/>
          </w:tcPr>
          <w:p>
            <w:r>
              <w:rPr>
                <w:rFonts w:ascii="Times New Roman" w:hAnsi="Times New Roman"/>
                <w:sz w:val="20"/>
              </w:rPr>
              <w:t>Hofstelle (Gebäudewert, kapitalisiert)</w:t>
            </w:r>
          </w:p>
        </w:tc>
        <w:tc>
          <w:tcPr>
            <w:tcW w:type="dxa" w:w="2268"/>
          </w:tcPr>
          <w:p>
            <w:r>
              <w:rPr>
                <w:rFonts w:ascii="Times New Roman" w:hAnsi="Times New Roman"/>
                <w:sz w:val="20"/>
              </w:rPr>
              <w:t>—</w:t>
            </w:r>
          </w:p>
        </w:tc>
        <w:tc>
          <w:tcPr>
            <w:tcW w:type="dxa" w:w="2268"/>
          </w:tcPr>
          <w:p>
            <w:r>
              <w:rPr>
                <w:rFonts w:ascii="Times New Roman" w:hAnsi="Times New Roman"/>
                <w:sz w:val="20"/>
              </w:rPr>
              <w:t>—</w:t>
            </w:r>
          </w:p>
        </w:tc>
        <w:tc>
          <w:tcPr>
            <w:tcW w:type="dxa" w:w="2268"/>
          </w:tcPr>
          <w:p>
            <w:r>
              <w:rPr>
                <w:rFonts w:ascii="Times New Roman" w:hAnsi="Times New Roman"/>
                <w:sz w:val="20"/>
              </w:rPr>
              <w:t>22.000</w:t>
            </w:r>
          </w:p>
        </w:tc>
      </w:tr>
      <w:tr>
        <w:tc>
          <w:tcPr>
            <w:tcW w:type="dxa" w:w="2268"/>
          </w:tcPr>
          <w:p>
            <w:r>
              <w:rPr>
                <w:rFonts w:ascii="Times New Roman" w:hAnsi="Times New Roman"/>
                <w:b/>
                <w:sz w:val="20"/>
              </w:rPr>
              <w:t>Jahresertragswert gesamt</w:t>
            </w:r>
          </w:p>
        </w:tc>
        <w:tc>
          <w:tcPr>
            <w:tcW w:type="dxa" w:w="2268"/>
          </w:tcPr>
          <w:p/>
        </w:tc>
        <w:tc>
          <w:tcPr>
            <w:tcW w:type="dxa" w:w="2268"/>
          </w:tcPr>
          <w:p/>
        </w:tc>
        <w:tc>
          <w:tcPr>
            <w:tcW w:type="dxa" w:w="2268"/>
          </w:tcPr>
          <w:p>
            <w:r>
              <w:rPr>
                <w:rFonts w:ascii="Times New Roman" w:hAnsi="Times New Roman"/>
                <w:b/>
                <w:sz w:val="20"/>
              </w:rPr>
              <w:t>184.600</w:t>
            </w:r>
          </w:p>
        </w:tc>
      </w:tr>
    </w:tbl>
    <w:p>
      <w:pPr>
        <w:jc w:val="left"/>
      </w:pPr>
      <w:r>
        <w:t xml:space="preserve">Hofwert = 184.600 EUR × 7 (Faktor nach § 12 Abs. 2 HöfeO, variiert) = </w:t>
      </w:r>
      <w:r>
        <w:rPr>
          <w:b/>
        </w:rPr>
        <w:t>ca. 1.292.200 EUR</w:t>
      </w:r>
    </w:p>
    <w:p>
      <w:pPr>
        <w:jc w:val="left"/>
      </w:pPr>
      <w:r>
        <w:rPr>
          <w:i/>
        </w:rPr>
        <w:t>Hinweis: Der genaue Multiplikator nach § 12 HöfeO bedarf einer Gutachtenerstellung durch einen nach § 12 HöfeO autorisierten landwirtschaftlichen Sachverständigen.</w:t>
      </w:r>
    </w:p>
    <w:p>
      <w:pPr>
        <w:pStyle w:val="Heading3"/>
      </w:pPr>
      <w:r>
        <w:rPr>
          <w:rFonts w:ascii="Times New Roman" w:hAnsi="Times New Roman"/>
        </w:rPr>
        <w:t>4.2 Abfindung Mathis</w:t>
      </w:r>
    </w:p>
    <w:p>
      <w:pPr>
        <w:jc w:val="left"/>
      </w:pPr>
      <w:r>
        <w:t>Bei zwei Geschwistern (Mareike, Mathis) und gesetzlicher Erbquote je 1/2 berechnet sich die Abfindung nach § 12 Abs. 1 HöfeO:</w:t>
      </w:r>
    </w:p>
    <w:p>
      <w:pPr>
        <w:jc w:val="left"/>
      </w:pPr>
      <w:r>
        <w:rPr>
          <w:b/>
        </w:rPr>
        <w:t>Abfindung Mathis = Hofwert × Erbquote Mathis = ca. 1.292.200 EUR × 1/2 = ca. 646.100 EUR</w:t>
      </w:r>
    </w:p>
    <w:p>
      <w:pPr>
        <w:jc w:val="left"/>
      </w:pPr>
      <w:r>
        <w:t xml:space="preserve">Zum Vergleich: BGB-Pflichtteil = 1/4 Verkehrswert (ca. 6.480.000 EUR) = ca. </w:t>
      </w:r>
      <w:r>
        <w:rPr>
          <w:b/>
        </w:rPr>
        <w:t>1.620.000 EUR</w:t>
      </w:r>
      <w:r>
        <w:t>.</w:t>
      </w:r>
    </w:p>
    <w:p>
      <w:pPr>
        <w:jc w:val="left"/>
      </w:pPr>
      <w:r>
        <w:t xml:space="preserve">Die HöfeO spart Mareike gegenüber BGB-Erbfolge ca. </w:t>
      </w:r>
      <w:r>
        <w:rPr>
          <w:b/>
        </w:rPr>
        <w:t>973.900 EUR</w:t>
      </w:r>
      <w:r>
        <w:t>.</w:t>
      </w:r>
    </w:p>
    <w:p/>
    <w:p>
      <w:pPr>
        <w:pStyle w:val="Heading2"/>
      </w:pPr>
      <w:r>
        <w:rPr>
          <w:rFonts w:ascii="Times New Roman" w:hAnsi="Times New Roman"/>
        </w:rPr>
        <w:t>5. Altenteil für Hartmut und Almut</w:t>
      </w:r>
    </w:p>
    <w:p>
      <w:pPr>
        <w:jc w:val="left"/>
      </w:pPr>
      <w:r>
        <w:t xml:space="preserve">Nach § 14 HöfeO kann der Übergeber bei der Hofübergabe ein </w:t>
      </w:r>
      <w:r>
        <w:rPr>
          <w:b/>
        </w:rPr>
        <w:t>Altenteil</w:t>
      </w:r>
      <w:r>
        <w:t xml:space="preserve"> (Leibgedinge) vereinbaren. Für Hartmut und Almut Driessen wäre ein Altenteil mit folgenden Leistungen zu vereinbaren:</w:t>
      </w:r>
    </w:p>
    <w:p>
      <w:pPr>
        <w:pStyle w:val="ListBullet"/>
      </w:pPr>
      <w:r>
        <w:rPr>
          <w:b/>
        </w:rPr>
        <w:t>Wohnrecht</w:t>
      </w:r>
      <w:r>
        <w:t xml:space="preserve"> an dem bisherigen Wohnhaus auf der Hofstelle (lebenslanges unentgeltliches Wohnrecht im Grundbuch einzutragen);</w:t>
      </w:r>
    </w:p>
    <w:p>
      <w:pPr>
        <w:pStyle w:val="ListBullet"/>
      </w:pPr>
      <w:r>
        <w:rPr>
          <w:b/>
        </w:rPr>
        <w:t>Barleistung</w:t>
      </w:r>
      <w:r>
        <w:t xml:space="preserve"> von 2.200 EUR/Monat (indexiert an Verbraucherpreisindex);</w:t>
      </w:r>
    </w:p>
    <w:p>
      <w:pPr>
        <w:pStyle w:val="ListBullet"/>
      </w:pPr>
      <w:r>
        <w:rPr>
          <w:b/>
        </w:rPr>
        <w:t>Sachleistungen</w:t>
      </w:r>
      <w:r>
        <w:t xml:space="preserve"> (Heizung, Strom, Gartennutzung, Pkw-Nutzung begrenzt).</w:t>
      </w:r>
    </w:p>
    <w:p>
      <w:pPr>
        <w:jc w:val="left"/>
      </w:pPr>
      <w:r>
        <w:t>Der Gesamtwert des Altenteils ist bei der Abfindungsberechnung des Mathis nach § 12 Abs. 3 HöfeO anzurechnen.</w:t>
      </w:r>
    </w:p>
    <w:p>
      <w:pPr>
        <w:jc w:val="left"/>
      </w:pPr>
      <w:r>
        <w:rPr>
          <w:i/>
        </w:rPr>
        <w:t>Rechtsquellen: HöfeO §§ 1, 4, 6, 12, 14, 17; §§ 2274 ff. BGB; BVerfGE 141, 1 (bundesverfassungsgericht.de); OVG NRW 10 A 1442/10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