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Wirtschaftliche Lage und Liquiditätsanalyse — Hofgemeinschaft Driessen GbR</w:t>
      </w:r>
    </w:p>
    <w:p>
      <w:pPr>
        <w:jc w:val="left"/>
      </w:pPr>
      <w:r>
        <w:rPr>
          <w:b/>
        </w:rPr>
        <w:t>Akte:</w:t>
      </w:r>
      <w:r>
        <w:t xml:space="preserve"> VG Düsseldorf 19 K 4441/26 (Antrag § 80 Abs. 5 VwGO)</w:t>
      </w:r>
    </w:p>
    <w:p>
      <w:pPr>
        <w:jc w:val="left"/>
      </w:pPr>
      <w:r>
        <w:rPr>
          <w:b/>
        </w:rPr>
        <w:t>Dokument-Nr.:</w:t>
      </w:r>
      <w:r>
        <w:t xml:space="preserve"> 18</w:t>
      </w:r>
    </w:p>
    <w:p>
      <w:pPr>
        <w:jc w:val="left"/>
      </w:pPr>
      <w:r>
        <w:rPr>
          <w:b/>
        </w:rPr>
        <w:t>Erstellt:</w:t>
      </w:r>
      <w:r>
        <w:t xml:space="preserve"> März 2026</w:t>
      </w:r>
    </w:p>
    <w:p/>
    <w:p>
      <w:pPr>
        <w:pStyle w:val="Heading2"/>
      </w:pPr>
      <w:r>
        <w:rPr>
          <w:rFonts w:ascii="Times New Roman" w:hAnsi="Times New Roman"/>
        </w:rPr>
        <w:t>1. Bedeutung der Liquiditätsanalyse im Rechtsverfahren</w:t>
      </w:r>
    </w:p>
    <w:p>
      <w:pPr>
        <w:jc w:val="left"/>
      </w:pPr>
      <w:r>
        <w:t xml:space="preserve">Für den </w:t>
      </w:r>
      <w:r>
        <w:rPr>
          <w:b/>
        </w:rPr>
        <w:t>Antrag auf aufschiebende Wirkung</w:t>
      </w:r>
      <w:r>
        <w:t xml:space="preserve"> gemäß § 80 Abs. 5 VwGO ist die Darlegung der wirtschaftlichen Existenzgefährdung durch den sofort vollziehbaren Rückforderungsbescheid zentral. Das VG Düsseldorf hat in vergleichbaren Fällen (VG Düsseldorf 25 L 2841/20) entschieden, dass bei landwirtschaftlichen Betrieben eine Existenzgefährdung glaubhaft gemacht werden kann, wenn die sofortige Zahlung des Rückforderungsbetrags mehr als 30 % des Jahresbetriebseinkommens entspricht und keine sofort verfügbaren Reserven vorhanden sind.</w:t>
      </w:r>
    </w:p>
    <w:p/>
    <w:p>
      <w:pPr>
        <w:pStyle w:val="Heading2"/>
      </w:pPr>
      <w:r>
        <w:rPr>
          <w:rFonts w:ascii="Times New Roman" w:hAnsi="Times New Roman"/>
        </w:rPr>
        <w:t>2. Jahresabschluss WJ 2024/2025 (Zusammenfassung)</w:t>
      </w:r>
    </w:p>
    <w:p>
      <w:pPr>
        <w:pStyle w:val="Heading3"/>
      </w:pPr>
      <w:r>
        <w:rPr>
          <w:rFonts w:ascii="Times New Roman" w:hAnsi="Times New Roman"/>
        </w:rPr>
        <w:t>2.1 Gewinn- und Verlustrechnung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Umsatzerlöse Bio-Kartoffeln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738.200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Umsatzerlöse Bio-Zwiebeln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484.600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Umsatzerlöse Bio-Heidelbeeren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211.400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Umsatzerlöse Galloway-Fleisch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57.800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Sonstige betriebliche Erträge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12.400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Gesamtumsatz brutto (USt. § 24 UStG)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1.504.400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Saatgut, Düngemittel, Pflanzenschutz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-142.300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Energie (Strom, Diesel, Heizöl)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-68.400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Maschinenkosten, Reparaturen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-89.600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Personalkosten (Festangestellte + Saisonkräfte)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-341.800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Pachtaufwand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-126.000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Versicherungen und Beiträge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-18.900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Sonstige betriebliche Aufwendungen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-39.700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Abschreibungen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-87.400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EBITDA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490.300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EBIT (nach AfA)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402.900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Zinsaufwand (Betriebsmittelkredit, Investitionsdarlehen)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-47.800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EBT (Vorsteuergewinn)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355.100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2.2 Bilanz-Kurzüberblick (31.08.2025)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Aktiva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Passiva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Anlagevermögen (Grundstücke 185 ha)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2.050.000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Eigenkapital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1.890.000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Anlagevermögen (Maschinen)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Langfristige Verbindlichkeiten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Umlaufvermögen (Vorräte)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224.400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Kurzfristige Verbindlichkeiten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188.400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Liquide 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142.800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Rückstellungen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32.000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Forderungen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78.400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Stehende Kulturen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118.800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Sonstige Aktiva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64.000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Bilanzsumme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2.990.400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Bilanzsumme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2.390.400</w:t>
            </w:r>
          </w:p>
        </w:tc>
      </w:tr>
    </w:tbl>
    <w:p>
      <w:pPr>
        <w:jc w:val="left"/>
      </w:pPr>
      <w:r>
        <w:rPr>
          <w:i/>
        </w:rPr>
        <w:t>Hinweis: Bilanz nicht ausgeglichen; Differenz beruht auf Vorläufigkeit der Aufstellung (Steuerberater Schulze &amp; Partner im Entwurfsstadium).</w:t>
      </w:r>
    </w:p>
    <w:p/>
    <w:p>
      <w:pPr>
        <w:pStyle w:val="Heading2"/>
      </w:pPr>
      <w:r>
        <w:rPr>
          <w:rFonts w:ascii="Times New Roman" w:hAnsi="Times New Roman"/>
        </w:rPr>
        <w:t>3. Liquiditätsanalyse März 2026</w:t>
      </w:r>
    </w:p>
    <w:p>
      <w:pPr>
        <w:pStyle w:val="Heading3"/>
      </w:pPr>
      <w:r>
        <w:rPr>
          <w:rFonts w:ascii="Times New Roman" w:hAnsi="Times New Roman"/>
        </w:rPr>
        <w:t>3.1 Verfügbare Liquidität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Liquiditätsposition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Bankguthaben (Volksbank Niederrhein, Stand 01.03.2026)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94.200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Kurzfristig liquidierbare Forderungen (Erzeugergemeinschaft)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38.400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Kassenbest (Hofverkauf)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4.800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 verfügbare Liquidität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137.400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3.2 Kurzfristige Verbindlichkeiten (fällig bis 30.06.2026)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Verbindlichkeit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Fällig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Lohnzahlungen April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31.400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Pacht (restliche Pächter, April)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14.800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Betriebsmittelkredit Volksbank Rate Q2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Saatgut und Düngemittel Frühjahr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Mai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42.600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Maschinenreparatur Feldspritze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fällig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8.400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USt.-Abrechnung § 24 UStG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Mai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12.800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Summe kurzfristige Verbindlichkeiten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138.000</w:t>
            </w:r>
          </w:p>
        </w:tc>
      </w:tr>
    </w:tbl>
    <w:p>
      <w:pPr>
        <w:jc w:val="left"/>
      </w:pPr>
      <w:r>
        <w:rPr>
          <w:b/>
        </w:rPr>
        <w:t>Liquiditätsreserve nach Abzug regulärer Verbindlichkeiten: ca. -600 EUR</w:t>
      </w:r>
      <w:r>
        <w:t xml:space="preserve"> (nahezu null).</w:t>
      </w:r>
    </w:p>
    <w:p>
      <w:pPr>
        <w:pStyle w:val="Heading3"/>
      </w:pPr>
      <w:r>
        <w:rPr>
          <w:rFonts w:ascii="Times New Roman" w:hAnsi="Times New Roman"/>
        </w:rPr>
        <w:t>3.3 Auswirkung der Rückforderung (142.350 EUR)</w:t>
      </w:r>
    </w:p>
    <w:p>
      <w:pPr>
        <w:jc w:val="left"/>
      </w:pPr>
      <w:r>
        <w:t>Eine sofortige Zahlung der Rückforderung von 142.350 EUR würde:</w:t>
      </w:r>
    </w:p>
    <w:p>
      <w:pPr>
        <w:pStyle w:val="ListBullet"/>
      </w:pPr>
      <w:r>
        <w:t>Die verfügbare Liquidität vollständig aufbrauchen (Kontostand wird negativ);</w:t>
      </w:r>
    </w:p>
    <w:p>
      <w:pPr>
        <w:pStyle w:val="ListBullet"/>
      </w:pPr>
      <w:r>
        <w:t>Darlehensraten für das Investitionsdarlehen (Restschuld 280.000 EUR) gefährden;</w:t>
      </w:r>
    </w:p>
    <w:p>
      <w:pPr>
        <w:pStyle w:val="ListBullet"/>
      </w:pPr>
      <w:r>
        <w:t>Lohnzahlungen für April 2026 in Frage stellen (Arbeitnehmerüberlassungsvertrag Saisonkräfte kündbar);</w:t>
      </w:r>
    </w:p>
    <w:p>
      <w:pPr>
        <w:pStyle w:val="ListBullet"/>
      </w:pPr>
      <w:r>
        <w:t>Die Finanzierung des Frühjahrsanbaus 2026 (Saatgut, Pflanzenschutz) verhindern.</w:t>
      </w:r>
    </w:p>
    <w:p/>
    <w:p>
      <w:pPr>
        <w:pStyle w:val="Heading2"/>
      </w:pPr>
      <w:r>
        <w:rPr>
          <w:rFonts w:ascii="Times New Roman" w:hAnsi="Times New Roman"/>
        </w:rPr>
        <w:t>4. Prognostizierte Liquiditätskrise</w:t>
      </w:r>
    </w:p>
    <w:p>
      <w:pPr>
        <w:jc w:val="left"/>
      </w:pPr>
      <w:r>
        <w:t>Ohne aufschiebende Wirkung:</w:t>
      </w:r>
    </w:p>
    <w:p>
      <w:pPr>
        <w:pStyle w:val="ListBullet"/>
      </w:pPr>
      <w:r>
        <w:rPr>
          <w:b/>
        </w:rPr>
        <w:t>April 2026:</w:t>
      </w:r>
      <w:r>
        <w:t xml:space="preserve"> Lohnrückstand, drohende Kündigung durch Feldarbeiter Kaminski und Kleine;</w:t>
      </w:r>
    </w:p>
    <w:p>
      <w:pPr>
        <w:pStyle w:val="ListBullet"/>
      </w:pPr>
      <w:r>
        <w:rPr>
          <w:b/>
        </w:rPr>
        <w:t>Mai 2026:</w:t>
      </w:r>
      <w:r>
        <w:t xml:space="preserve"> Fehlender Düngemitteleinkauf gefährdet die Ernte 2026 (Verlust ca. 1,2 Mio. EUR Umsatz);</w:t>
      </w:r>
    </w:p>
    <w:p>
      <w:pPr>
        <w:pStyle w:val="ListBullet"/>
      </w:pPr>
      <w:r>
        <w:rPr>
          <w:b/>
        </w:rPr>
        <w:t>Juli 2026:</w:t>
      </w:r>
      <w:r>
        <w:t xml:space="preserve"> Eröffnung Insolvenzverfahren möglich (§ 17 InsO: Zahlungsunfähigkeit);</w:t>
      </w:r>
    </w:p>
    <w:p>
      <w:pPr>
        <w:pStyle w:val="ListBullet"/>
      </w:pPr>
      <w:r>
        <w:rPr>
          <w:b/>
        </w:rPr>
        <w:t>Konsequenz:</w:t>
      </w:r>
      <w:r>
        <w:t xml:space="preserve"> Vollständiger Verlust des Betriebs, inkl. aller Arbeitsplätze und der Naturschutz-Kooperation Schwalmaue.</w:t>
      </w:r>
    </w:p>
    <w:p/>
    <w:p>
      <w:pPr>
        <w:pStyle w:val="Heading2"/>
      </w:pPr>
      <w:r>
        <w:rPr>
          <w:rFonts w:ascii="Times New Roman" w:hAnsi="Times New Roman"/>
        </w:rPr>
        <w:t>5. Zusammenfassung für den § 80 Abs. 5 VwGO-Antrag</w:t>
      </w:r>
    </w:p>
    <w:p>
      <w:pPr>
        <w:jc w:val="left"/>
      </w:pPr>
      <w:r>
        <w:t xml:space="preserve">Die wirtschaftliche Situation der Hofgemeinschaft Driessen ist im März 2026 angespannt. Die sofortige Vollziehbarkeit des Rückforderungsbescheids würde mit hoher Wahrscheinlichkeit zur </w:t>
      </w:r>
      <w:r>
        <w:rPr>
          <w:b/>
        </w:rPr>
        <w:t>Existenzvernichtung</w:t>
      </w:r>
      <w:r>
        <w:t xml:space="preserve"> des Betriebs führen. Angesichts der ernsthaften Zweifel an der Rechtmäßigkeit des Bescheids (s. Aktenstücke 03, 04, 12) überwiegt das Suspensivinteresse der Klägerin das Vollziehungsinteresse der Behörde.</w:t>
      </w:r>
    </w:p>
    <w:p>
      <w:pPr>
        <w:jc w:val="left"/>
      </w:pPr>
      <w:r>
        <w:t>Der Antrag auf aufschiebende Wirkung ist mit Vorlage dieser Liquiditätsanalyse, dem vorläufigen Jahresabschluss WJ 2024/2025 und dem Kontoauszug Stand 01.03.2026 zu begründen.</w:t>
      </w:r>
    </w:p>
    <w:p>
      <w:pPr>
        <w:jc w:val="left"/>
      </w:pPr>
      <w:r>
        <w:rPr>
          <w:i/>
        </w:rPr>
        <w:t>Rechtsquellen: § 80 Abs. 5 VwGO; § 17 InsO; VG Düsseldorf 25 L 2841/20.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