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Gesamtstrategie und Vergleichskorridor — Alle Verfahren</w:t>
      </w:r>
    </w:p>
    <w:p>
      <w:pPr>
        <w:jc w:val="left"/>
      </w:pPr>
      <w:r>
        <w:rPr>
          <w:b/>
        </w:rPr>
        <w:t>Akte:</w:t>
      </w:r>
      <w:r>
        <w:t xml:space="preserve"> Alle Verfahren</w:t>
      </w:r>
    </w:p>
    <w:p>
      <w:pPr>
        <w:jc w:val="left"/>
      </w:pPr>
      <w:r>
        <w:rPr>
          <w:b/>
        </w:rPr>
        <w:t>Dokument-Nr.:</w:t>
      </w:r>
      <w:r>
        <w:t xml:space="preserve"> 20</w:t>
      </w:r>
    </w:p>
    <w:p>
      <w:pPr>
        <w:jc w:val="left"/>
      </w:pPr>
      <w:r>
        <w:rPr>
          <w:b/>
        </w:rPr>
        <w:t>Erstellt:</w:t>
      </w:r>
      <w:r>
        <w:t xml:space="preserve"> März 2026</w:t>
      </w:r>
    </w:p>
    <w:p/>
    <w:p>
      <w:pPr>
        <w:pStyle w:val="Heading2"/>
      </w:pPr>
      <w:r>
        <w:rPr>
          <w:rFonts w:ascii="Times New Roman" w:hAnsi="Times New Roman"/>
        </w:rPr>
        <w:t>1. Strategische Zielsetzung</w:t>
      </w:r>
    </w:p>
    <w:p>
      <w:pPr>
        <w:jc w:val="left"/>
      </w:pPr>
      <w:r>
        <w:t xml:space="preserve">Die Mandantenfamilie Driessen hat ein </w:t>
      </w:r>
      <w:r>
        <w:rPr>
          <w:b/>
        </w:rPr>
        <w:t>existenzielles Interesse</w:t>
      </w:r>
      <w:r>
        <w:t xml:space="preserve"> an der Weiterführung des Betriebs. Die sechs parallelen Rechtskonflikte gefährden den Betrieb aus verschiedenen Richtungen gleichzeitig. Eine übergreifende Strategie muss:</w:t>
      </w:r>
    </w:p>
    <w:p>
      <w:pPr>
        <w:pStyle w:val="ListNumber"/>
      </w:pPr>
      <w:r>
        <w:t>Den Betrieb unmittelbar vor Existenzgefährdung durch den Förder-Rückforderungsbescheid schützen (§ 80 Abs. 5 VwGO — Priorität 1);</w:t>
      </w:r>
    </w:p>
    <w:p>
      <w:pPr>
        <w:pStyle w:val="ListNumber"/>
      </w:pPr>
      <w:r>
        <w:t>Die Bioland-Zertifizierung erhalten (Priorität 2 — Zeitrahmen bis 31.03.2026);</w:t>
      </w:r>
    </w:p>
    <w:p>
      <w:pPr>
        <w:pStyle w:val="ListNumber"/>
      </w:pPr>
      <w:r>
        <w:t>Die Hofnachfolge an Mareike sichern (Priorität 3 — mittelfristig);</w:t>
      </w:r>
    </w:p>
    <w:p>
      <w:pPr>
        <w:pStyle w:val="ListNumber"/>
      </w:pPr>
      <w:r>
        <w:t>Die übrigen Verfahren (Drift, Pacht, Tierwohl) mit vertretbarem Aufwand führen.</w:t>
      </w:r>
    </w:p>
    <w:p/>
    <w:p>
      <w:pPr>
        <w:pStyle w:val="Heading2"/>
      </w:pPr>
      <w:r>
        <w:rPr>
          <w:rFonts w:ascii="Times New Roman" w:hAnsi="Times New Roman"/>
        </w:rPr>
        <w:t>2. Verfahren 1: Förderrückforderung VG Düsseldorf</w:t>
      </w:r>
    </w:p>
    <w:p>
      <w:pPr>
        <w:pStyle w:val="Heading3"/>
      </w:pPr>
      <w:r>
        <w:rPr>
          <w:rFonts w:ascii="Times New Roman" w:hAnsi="Times New Roman"/>
        </w:rPr>
        <w:t>Szenarien</w:t>
      </w:r>
    </w:p>
    <w:p>
      <w:pPr>
        <w:jc w:val="left"/>
      </w:pPr>
      <w:r>
        <w:rPr>
          <w:b/>
        </w:rPr>
        <w:t>Best Case (Wahrscheinlichkeit: 25–30 %):</w:t>
      </w:r>
    </w:p>
    <w:p>
      <w:pPr>
        <w:jc w:val="left"/>
      </w:pPr>
      <w:r>
        <w:t xml:space="preserve">Vollständige Aufhebung des Rückforderungsbescheids. Begründung: Sachverständigengutachten bestätigt Schlagabgrenzung, GLÖZ-8-Ausnahme greift, Öko-Äquivalenz für 2022 anerkannt, DüV-Nachreichung akzeptiert. </w:t>
      </w:r>
      <w:r>
        <w:rPr>
          <w:b/>
        </w:rPr>
        <w:t>Rückforderung: 0 EUR.</w:t>
      </w:r>
    </w:p>
    <w:p>
      <w:pPr>
        <w:jc w:val="left"/>
      </w:pPr>
      <w:r>
        <w:rPr>
          <w:b/>
        </w:rPr>
        <w:t>Middle Case (Wahrscheinlichkeit: 45–50 %):</w:t>
      </w:r>
    </w:p>
    <w:p>
      <w:pPr>
        <w:jc w:val="left"/>
      </w:pPr>
      <w:r>
        <w:t xml:space="preserve">Teilweise Aufhebung. Rückforderung auf Cross-Compliance-Anteil (3 % der Basisprämie beider Jahre) reduziert. </w:t>
      </w:r>
      <w:r>
        <w:rPr>
          <w:b/>
        </w:rPr>
        <w:t>Rückforderung: ca. 18.000–22.000 EUR.</w:t>
      </w:r>
    </w:p>
    <w:p>
      <w:pPr>
        <w:jc w:val="left"/>
      </w:pPr>
      <w:r>
        <w:rPr>
          <w:b/>
        </w:rPr>
        <w:t>Worst Case (Wahrscheinlichkeit: 20–25 %):</w:t>
      </w:r>
    </w:p>
    <w:p>
      <w:pPr>
        <w:jc w:val="left"/>
      </w:pPr>
      <w:r>
        <w:t xml:space="preserve">Klage überwiegend erfolglos; Gericht folgt Behördenaufassung zur Flächendifferenz. </w:t>
      </w:r>
      <w:r>
        <w:rPr>
          <w:b/>
        </w:rPr>
        <w:t>Rückforderung: 80.000–120.000 EUR</w:t>
      </w:r>
      <w:r>
        <w:t xml:space="preserve"> (aber nicht die volle Rückforderung wegen Verhältnismäßigkeitsrüge).</w:t>
      </w:r>
    </w:p>
    <w:p>
      <w:pPr>
        <w:jc w:val="left"/>
      </w:pPr>
      <w:r>
        <w:rPr>
          <w:b/>
        </w:rPr>
        <w:t>Vergleichskorridor:</w:t>
      </w:r>
    </w:p>
    <w:p>
      <w:pPr>
        <w:jc w:val="left"/>
      </w:pPr>
      <w:r>
        <w:t xml:space="preserve">Ein Vergleich mit der LWK-NRW wäre bei einer Gesamtzahlung von </w:t>
      </w:r>
      <w:r>
        <w:rPr>
          <w:b/>
        </w:rPr>
        <w:t>35.000–50.000 EUR</w:t>
      </w:r>
      <w:r>
        <w:t xml:space="preserve"> (ca. 25–35 % der ursprünglichen Forderung) anzustreben, wenn das Gericht im Erörterungstermin Signale gibt, dass die Rechtmäßigkeit zweifelhaft ist. Einen Vergleich aktiv anzubieten vor dem ersten Erörterungstermin ist nicht ratsam (Gefahr des Signals mangelnder Erfolgsaussicht).</w:t>
      </w:r>
    </w:p>
    <w:p/>
    <w:p>
      <w:pPr>
        <w:pStyle w:val="Heading2"/>
      </w:pPr>
      <w:r>
        <w:rPr>
          <w:rFonts w:ascii="Times New Roman" w:hAnsi="Times New Roman"/>
        </w:rPr>
        <w:t>3. Verfahren 2: Bioland-Schiedsstelle</w:t>
      </w:r>
    </w:p>
    <w:p>
      <w:pPr>
        <w:pStyle w:val="Heading3"/>
      </w:pPr>
      <w:r>
        <w:rPr>
          <w:rFonts w:ascii="Times New Roman" w:hAnsi="Times New Roman"/>
        </w:rPr>
        <w:t>Szenarien</w:t>
      </w:r>
    </w:p>
    <w:p>
      <w:pPr>
        <w:jc w:val="left"/>
      </w:pPr>
      <w:r>
        <w:rPr>
          <w:b/>
        </w:rPr>
        <w:t>Ziel:</w:t>
      </w:r>
      <w:r>
        <w:t xml:space="preserve"> Verwarnung mit Auflagen statt Aberkennung. Bei vollständiger Kooperation und Vorlage aller Dokumente ist dies das wahrscheinlichste Ergebnis (65–75 %).</w:t>
      </w:r>
    </w:p>
    <w:p>
      <w:pPr>
        <w:jc w:val="left"/>
      </w:pPr>
      <w:r>
        <w:rPr>
          <w:b/>
        </w:rPr>
        <w:t>Risiko:</w:t>
      </w:r>
      <w:r>
        <w:t xml:space="preserve"> Falls die Schiedsstelle dennoch Aberkennung ausspricht, sollte Klage beim LG Mainz auf Feststellung der Unwirksamkeit der Aberkennung erhoben werden. Die Schiedsklausel im Mitgliedsvertrag ist nur wirksam, wenn das Schiedsverfahren fair war; bei einem Verfahrensfehler (keine Anhörung, unzureichende Sachverhaltsermittlung) ist staatliche Gerichtsbarkeit zulässig (§ 1040 ZPO analog).</w:t>
      </w:r>
    </w:p>
    <w:p/>
    <w:p>
      <w:pPr>
        <w:pStyle w:val="Heading2"/>
      </w:pPr>
      <w:r>
        <w:rPr>
          <w:rFonts w:ascii="Times New Roman" w:hAnsi="Times New Roman"/>
        </w:rPr>
        <w:t>4. Verfahren 3: Drift-Schaden LG Kleve</w:t>
      </w:r>
    </w:p>
    <w:p>
      <w:pPr>
        <w:pStyle w:val="Heading3"/>
      </w:pPr>
      <w:r>
        <w:rPr>
          <w:rFonts w:ascii="Times New Roman" w:hAnsi="Times New Roman"/>
        </w:rPr>
        <w:t>Szenarien</w:t>
      </w:r>
    </w:p>
    <w:p>
      <w:pPr>
        <w:jc w:val="left"/>
      </w:pPr>
      <w:r>
        <w:rPr>
          <w:b/>
        </w:rPr>
        <w:t>Ziel:</w:t>
      </w:r>
      <w:r>
        <w:t xml:space="preserve"> Vollständige Klageabweisung.</w:t>
      </w:r>
    </w:p>
    <w:p>
      <w:pPr>
        <w:jc w:val="left"/>
      </w:pPr>
      <w:r>
        <w:rPr>
          <w:b/>
        </w:rPr>
        <w:t>Vergleichskorridor:</w:t>
      </w:r>
      <w:r>
        <w:t xml:space="preserve"> Sofern das Gericht auf eine gütliche Einigung drängt, wäre eine Zahlung von bis zu </w:t>
      </w:r>
      <w:r>
        <w:rPr>
          <w:b/>
        </w:rPr>
        <w:t>3.000–4.000 EUR</w:t>
      </w:r>
      <w:r>
        <w:t xml:space="preserve"> (ca. 10–14 % der Klageforderung) vertretbar, um Kosten und Risiko zu minimieren. Bedingung: Keine Schuldzugeständnisse; Zahlung als freiwillige Leistung ohne Anerkennung einer Rechtspflicht.</w:t>
      </w:r>
    </w:p>
    <w:p/>
    <w:p>
      <w:pPr>
        <w:pStyle w:val="Heading2"/>
      </w:pPr>
      <w:r>
        <w:rPr>
          <w:rFonts w:ascii="Times New Roman" w:hAnsi="Times New Roman"/>
        </w:rPr>
        <w:t>5. Verfahren 4: Pacht AG Moers</w:t>
      </w:r>
    </w:p>
    <w:p>
      <w:pPr>
        <w:pStyle w:val="Heading3"/>
      </w:pPr>
      <w:r>
        <w:rPr>
          <w:rFonts w:ascii="Times New Roman" w:hAnsi="Times New Roman"/>
        </w:rPr>
        <w:t>Szenarien</w:t>
      </w:r>
    </w:p>
    <w:p>
      <w:pPr>
        <w:jc w:val="left"/>
      </w:pPr>
      <w:r>
        <w:rPr>
          <w:b/>
        </w:rPr>
        <w:t>Best Case:</w:t>
      </w:r>
      <w:r>
        <w:t xml:space="preserve"> Aufrechnung wirksam, Kündigung LVR unwirksam. Pachtvertrag läuft bis 2028 weiter.</w:t>
      </w:r>
    </w:p>
    <w:p>
      <w:pPr>
        <w:jc w:val="left"/>
      </w:pPr>
      <w:r>
        <w:rPr>
          <w:b/>
        </w:rPr>
        <w:t>Middle Case:</w:t>
      </w:r>
      <w:r>
        <w:t xml:space="preserve"> Aufrechnung unwirksam (wegen Vertragsklausel), aber Zahlung 2024 belegt. LVR muss den Kündungsgrund reduzieren; Restbetrag Pachtzins 2025 nachzuzahlen (8.640 EUR). </w:t>
      </w:r>
      <w:r>
        <w:rPr>
          <w:b/>
        </w:rPr>
        <w:t>Kosten: 8.640 EUR.</w:t>
      </w:r>
    </w:p>
    <w:p>
      <w:pPr>
        <w:jc w:val="left"/>
      </w:pPr>
      <w:r>
        <w:rPr>
          <w:b/>
        </w:rPr>
        <w:t>Worst Case:</w:t>
      </w:r>
      <w:r>
        <w:t xml:space="preserve"> Kündigung wirksam, Räumung erforderlich. </w:t>
      </w:r>
      <w:r>
        <w:rPr>
          <w:b/>
        </w:rPr>
        <w:t>Kosten:</w:t>
      </w:r>
      <w:r>
        <w:t xml:space="preserve"> Verlust der 27,5 ha Weideland, Bestandsreduzierung Galloway-Herde, Kündigung Kooperationsvertrag Biologische Station (Wert ca. 25.000 EUR/Jahr Naturschutzförderung).</w:t>
      </w:r>
    </w:p>
    <w:p>
      <w:pPr>
        <w:jc w:val="left"/>
      </w:pPr>
      <w:r>
        <w:rPr>
          <w:b/>
        </w:rPr>
        <w:t>Vergleichskorridor:</w:t>
      </w:r>
      <w:r>
        <w:t xml:space="preserve"> LVR kann angeboten werden: Nachzahlung Pachtzins 2025 (8.640 EUR) + Anerkennung der Drainagekosten als Mietkaufinvestition (Pachtzins-Ratenzahlung als Drainageabzahlung). Neugestaltung des Pachtvertrags ab 2028 mit erhöhtem Pachtzins als Gegenleistung.</w:t>
      </w:r>
    </w:p>
    <w:p/>
    <w:p>
      <w:pPr>
        <w:pStyle w:val="Heading2"/>
      </w:pPr>
      <w:r>
        <w:rPr>
          <w:rFonts w:ascii="Times New Roman" w:hAnsi="Times New Roman"/>
        </w:rPr>
        <w:t>6. Verfahren 5: Hoffolge OLG Düsseldorf</w:t>
      </w:r>
    </w:p>
    <w:p>
      <w:pPr>
        <w:pStyle w:val="Heading3"/>
      </w:pPr>
      <w:r>
        <w:rPr>
          <w:rFonts w:ascii="Times New Roman" w:hAnsi="Times New Roman"/>
        </w:rPr>
        <w:t>Zeitplan</w:t>
      </w:r>
    </w:p>
    <w:p>
      <w:pPr>
        <w:jc w:val="left"/>
      </w:pPr>
      <w:r>
        <w:t xml:space="preserve">Kurzfristig ist kein Urteil zu erwarten. Das OLG-Verfahren läuft typischerweise 12–24 Monate. Parallel sollte der </w:t>
      </w:r>
      <w:r>
        <w:rPr>
          <w:b/>
        </w:rPr>
        <w:t>notarielle Erbvertrag</w:t>
      </w:r>
      <w:r>
        <w:t xml:space="preserve"> Hartmut → Mareike sofort aufgesetzt werden (Notar Winterfeld, Krefeld), um Fakten zu schaffen. Mathis kann den Erbvertrag nicht anfechten, solange er die Abfindungsleistung erhält.</w:t>
      </w:r>
    </w:p>
    <w:p>
      <w:pPr>
        <w:jc w:val="left"/>
      </w:pPr>
      <w:r>
        <w:rPr>
          <w:b/>
        </w:rPr>
        <w:t>Mathis' Abfindung</w:t>
      </w:r>
      <w:r>
        <w:t xml:space="preserve"> (ca. 646.100 EUR nach HöfeO-Berechnung) sollte in </w:t>
      </w:r>
      <w:r>
        <w:rPr>
          <w:b/>
        </w:rPr>
        <w:t>Raten</w:t>
      </w:r>
      <w:r>
        <w:t xml:space="preserve"> über 10 Jahre angeboten werden (§ 12 Abs. 1 Satz 3 HöfeO erlaubt Ratenzahlung). Mareike kann die Raten aus dem Betriebsgewinn finanzieren.</w:t>
      </w:r>
    </w:p>
    <w:p/>
    <w:p>
      <w:pPr>
        <w:pStyle w:val="Heading2"/>
      </w:pPr>
      <w:r>
        <w:rPr>
          <w:rFonts w:ascii="Times New Roman" w:hAnsi="Times New Roman"/>
        </w:rPr>
        <w:t>7. Verfahren 6: Tierwohl VG Düsseldorf</w:t>
      </w:r>
    </w:p>
    <w:p>
      <w:pPr>
        <w:jc w:val="left"/>
      </w:pPr>
      <w:r>
        <w:rPr>
          <w:b/>
        </w:rPr>
        <w:t>Sofortiger Handlungsbedarf:</w:t>
      </w:r>
      <w:r>
        <w:t xml:space="preserve"> Widerherstellung aufschiebende Wirkung (§ 80 Abs. 5 VwGO) beantragen, bevor die Frist für Bestandsreduzierung (28.02.2026) abläuft. Diese Frist ist bereits abgelaufen — </w:t>
      </w:r>
      <w:r>
        <w:rPr>
          <w:b/>
        </w:rPr>
        <w:t>unverzügliche Antragstellung erforderlich.</w:t>
      </w:r>
    </w:p>
    <w:p>
      <w:pPr>
        <w:jc w:val="left"/>
      </w:pPr>
      <w:r>
        <w:t>Gutachten der Biologischen Station Kreis Wesel zur Besatzdichte als Eilbeweis vorlegen.</w:t>
      </w:r>
    </w:p>
    <w:p/>
    <w:p>
      <w:pPr>
        <w:pStyle w:val="Heading2"/>
      </w:pPr>
      <w:r>
        <w:rPr>
          <w:rFonts w:ascii="Times New Roman" w:hAnsi="Times New Roman"/>
        </w:rPr>
        <w:t>8. Gesamtfinanzierungsbedarf für alle Verfahren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Kostenposition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Anwaltsgebühren Dr. Faulhammer (RVG-Schätzung, alle Verfahren)</w:t>
            </w:r>
          </w:p>
        </w:tc>
        <w:tc>
          <w:tcPr>
            <w:tcW w:type="dxa" w:w="4536"/>
          </w:tcPr>
          <w:p>
            <w:r>
              <w:rPr>
                <w:rFonts w:ascii="Times New Roman" w:hAnsi="Times New Roman"/>
                <w:sz w:val="20"/>
              </w:rPr>
              <w:t>ca. 48.000–65.000</w:t>
            </w:r>
          </w:p>
        </w:tc>
      </w:tr>
      <w:tr>
        <w:tc>
          <w:tcPr>
            <w:tcW w:type="dxa" w:w="4536"/>
          </w:tcPr>
          <w:p>
            <w:r>
              <w:rPr>
                <w:rFonts w:ascii="Times New Roman" w:hAnsi="Times New Roman"/>
                <w:sz w:val="20"/>
              </w:rPr>
              <w:t>Sachverständige SV 1–4</w:t>
            </w:r>
          </w:p>
        </w:tc>
        <w:tc>
          <w:tcPr>
            <w:tcW w:type="dxa" w:w="4536"/>
          </w:tcPr>
          <w:p>
            <w:r>
              <w:rPr>
                <w:rFonts w:ascii="Times New Roman" w:hAnsi="Times New Roman"/>
                <w:sz w:val="20"/>
              </w:rPr>
              <w:t>ca. 14.000–22.000</w:t>
            </w:r>
          </w:p>
        </w:tc>
      </w:tr>
      <w:tr>
        <w:tc>
          <w:tcPr>
            <w:tcW w:type="dxa" w:w="4536"/>
          </w:tcPr>
          <w:p>
            <w:r>
              <w:rPr>
                <w:rFonts w:ascii="Times New Roman" w:hAnsi="Times New Roman"/>
                <w:sz w:val="20"/>
              </w:rPr>
              <w:t>Gerichtsgebühren (Vorschüsse)</w:t>
            </w:r>
          </w:p>
        </w:tc>
        <w:tc>
          <w:tcPr>
            <w:tcW w:type="dxa" w:w="4536"/>
          </w:tcPr>
          <w:p>
            <w:r>
              <w:rPr>
                <w:rFonts w:ascii="Times New Roman" w:hAnsi="Times New Roman"/>
                <w:sz w:val="20"/>
              </w:rPr>
              <w:t>ca. 8.000–12.000</w:t>
            </w:r>
          </w:p>
        </w:tc>
      </w:tr>
      <w:tr>
        <w:tc>
          <w:tcPr>
            <w:tcW w:type="dxa" w:w="4536"/>
          </w:tcPr>
          <w:p>
            <w:r>
              <w:rPr>
                <w:rFonts w:ascii="Times New Roman" w:hAnsi="Times New Roman"/>
                <w:sz w:val="20"/>
              </w:rPr>
              <w:t>Notarkosten Erbvertrag</w:t>
            </w:r>
          </w:p>
        </w:tc>
        <w:tc>
          <w:tcPr>
            <w:tcW w:type="dxa" w:w="4536"/>
          </w:tcPr>
          <w:p>
            <w:r>
              <w:rPr>
                <w:rFonts w:ascii="Times New Roman" w:hAnsi="Times New Roman"/>
                <w:sz w:val="20"/>
              </w:rPr>
              <w:t>ca. 6.000–8.000</w:t>
            </w:r>
          </w:p>
        </w:tc>
      </w:tr>
      <w:tr>
        <w:tc>
          <w:tcPr>
            <w:tcW w:type="dxa" w:w="4536"/>
          </w:tcPr>
          <w:p>
            <w:r>
              <w:rPr>
                <w:rFonts w:ascii="Times New Roman" w:hAnsi="Times New Roman"/>
                <w:b/>
                <w:sz w:val="20"/>
              </w:rPr>
              <w:t>Gesamtkosten-Schätzung</w:t>
            </w:r>
          </w:p>
        </w:tc>
        <w:tc>
          <w:tcPr>
            <w:tcW w:type="dxa" w:w="4536"/>
          </w:tcPr>
          <w:p>
            <w:r>
              <w:rPr>
                <w:rFonts w:ascii="Times New Roman" w:hAnsi="Times New Roman"/>
                <w:b/>
                <w:sz w:val="20"/>
              </w:rPr>
              <w:t>ca. 76.000–107.000 EUR</w:t>
            </w:r>
          </w:p>
        </w:tc>
      </w:tr>
    </w:tbl>
    <w:p>
      <w:pPr>
        <w:jc w:val="left"/>
      </w:pPr>
      <w:r>
        <w:t>Empfehlung: Rechtsschutzversicherung des Mandanten prüfen (Landwirtschaftliche Betriebe: Agrarbetrieb-Rechtsschutz, VHV Gruppe). Falls nicht vorhanden: Ratenzahlungsvereinbarung mit Kanzlei.</w:t>
      </w:r>
    </w:p>
    <w:p>
      <w:pPr>
        <w:jc w:val="left"/>
      </w:pPr>
      <w:r>
        <w:rPr>
          <w:i/>
        </w:rPr>
        <w:t>Rechtsquellen: § 80 Abs. 5 VwGO; § 12 HöfeO; § 1040 ZPO; § 242 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