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Hofübergabe an Mareike Driessen — Notarielle Vorbereitung und Rechtliche Einordnung</w:t>
      </w:r>
    </w:p>
    <w:p>
      <w:pPr>
        <w:jc w:val="left"/>
      </w:pPr>
      <w:r>
        <w:rPr>
          <w:b/>
        </w:rPr>
        <w:t>Akte:</w:t>
      </w:r>
      <w:r>
        <w:t xml:space="preserve"> OLG Düsseldorf I-25 W 17/26 / Hofübergabe-Planung</w:t>
      </w:r>
    </w:p>
    <w:p>
      <w:pPr>
        <w:jc w:val="left"/>
      </w:pPr>
      <w:r>
        <w:rPr>
          <w:b/>
        </w:rPr>
        <w:t>Dokument-Nr.:</w:t>
      </w:r>
      <w:r>
        <w:t xml:space="preserve"> 22</w:t>
      </w:r>
    </w:p>
    <w:p>
      <w:pPr>
        <w:jc w:val="left"/>
      </w:pPr>
      <w:r>
        <w:rPr>
          <w:b/>
        </w:rPr>
        <w:t>Erstellt:</w:t>
      </w:r>
      <w:r>
        <w:t xml:space="preserve"> März 2026</w:t>
      </w:r>
    </w:p>
    <w:p/>
    <w:p>
      <w:pPr>
        <w:pStyle w:val="Heading2"/>
      </w:pPr>
      <w:r>
        <w:rPr>
          <w:rFonts w:ascii="Times New Roman" w:hAnsi="Times New Roman"/>
        </w:rPr>
        <w:t>1. Person der Hoferbin</w:t>
      </w:r>
    </w:p>
    <w:p>
      <w:pPr>
        <w:jc w:val="left"/>
      </w:pPr>
      <w:r>
        <w:rPr>
          <w:b/>
        </w:rPr>
        <w:t>Mareike Driessen</w:t>
      </w:r>
      <w:r>
        <w:t xml:space="preserve">, geboren 19. September 2002, wohnhaft Labbecker Weg 14, 47665 Sonsbeck-Labbeck (Hauptwohnung; Zweitwohnung: Bonner Talweg 12, 53113 Bonn), ist Tochter von Hartmut und Almut Driessen. Sie studiert seit dem Wintersemester 2023/2024 an der </w:t>
      </w:r>
      <w:r>
        <w:rPr>
          <w:b/>
        </w:rPr>
        <w:t>Universität Bonn</w:t>
      </w:r>
      <w:r>
        <w:t>, Landwirtschaftliche Fakultät, den Studiengang B.Sc. Agrarwissenschaften (Regelstudienzeit 6 Semester). Derzeit befindet sie sich im dritten Semester; voraussichtlicher Abschluss: Sommer 2026.</w:t>
      </w:r>
    </w:p>
    <w:p>
      <w:pPr>
        <w:jc w:val="left"/>
      </w:pPr>
      <w:r>
        <w:t>Mareike hat seit ihrer Kindheit auf dem Hof mitgearbeitet (dokumentiert in Schulzeugnissen, Bioland-Zertifizierungsakten) und kennt alle Betriebszweige aus eigener Erfahrung. Sie besitzt den Führerschein für Traktoren (Klasse T seit 2021) und hat an einem Pflanzenschutz-Sachkundenachweis-Kurs teilgenommen (Zertifikat der LWK-NRW vom März 2022).</w:t>
      </w:r>
    </w:p>
    <w:p/>
    <w:p>
      <w:pPr>
        <w:pStyle w:val="Heading2"/>
      </w:pPr>
      <w:r>
        <w:rPr>
          <w:rFonts w:ascii="Times New Roman" w:hAnsi="Times New Roman"/>
        </w:rPr>
        <w:t>2. Übergabe-Konzept</w:t>
      </w:r>
    </w:p>
    <w:p>
      <w:pPr>
        <w:pStyle w:val="Heading3"/>
      </w:pPr>
      <w:r>
        <w:rPr>
          <w:rFonts w:ascii="Times New Roman" w:hAnsi="Times New Roman"/>
        </w:rPr>
        <w:t>2.1 Zeitplan</w:t>
      </w:r>
    </w:p>
    <w:p>
      <w:pPr>
        <w:jc w:val="left"/>
      </w:pPr>
      <w:r>
        <w:t xml:space="preserve">Hartmut Driessen (Jahrgang 1961) plant die Hofübergabe auf Mareike zum </w:t>
      </w:r>
      <w:r>
        <w:rPr>
          <w:b/>
        </w:rPr>
        <w:t>01. Oktober 2027</w:t>
      </w:r>
      <w:r>
        <w:t xml:space="preserve"> (nach Abschluss des Studiums und voraussichtlicher Gründung einer eigenen Familie). Bis dahin verbleibt der Hof im Eigentum von Hartmut.</w:t>
      </w:r>
    </w:p>
    <w:p>
      <w:pPr>
        <w:jc w:val="left"/>
      </w:pPr>
      <w:r>
        <w:t xml:space="preserve">Parallel soll ein </w:t>
      </w:r>
      <w:r>
        <w:rPr>
          <w:b/>
        </w:rPr>
        <w:t>notarieller Erbvertrag</w:t>
      </w:r>
      <w:r>
        <w:t xml:space="preserve"> (§ 2274 ff. BGB) sofort aufgesetzt werden, der Mareike als Hoferbin einsetzt (§ 7 Abs. 1 HöfeO), damit für das OLG-Verfahren (I-25 W 17/26) eine klare Rechtslage besteht.</w:t>
      </w:r>
    </w:p>
    <w:p>
      <w:pPr>
        <w:pStyle w:val="Heading3"/>
      </w:pPr>
      <w:r>
        <w:rPr>
          <w:rFonts w:ascii="Times New Roman" w:hAnsi="Times New Roman"/>
        </w:rPr>
        <w:t>2.2 Inhalt des Erbvertrags (Entwurf)</w:t>
      </w:r>
    </w:p>
    <w:p>
      <w:pPr>
        <w:jc w:val="left"/>
      </w:pPr>
      <w:r>
        <w:rPr>
          <w:b/>
        </w:rPr>
        <w:t>Erbvertrag Hartmut Driessen → Mareike Driessen:</w:t>
      </w:r>
    </w:p>
    <w:p>
      <w:pPr>
        <w:pStyle w:val="ListNumber"/>
      </w:pPr>
      <w:r>
        <w:rPr>
          <w:b/>
        </w:rPr>
        <w:t>Hoferbeneinsetzung:</w:t>
      </w:r>
      <w:r>
        <w:t xml:space="preserve"> Hartmut Driessen setzt Mareike Driessen als alleinige Hoferbin (§ 7 Abs. 1 HöfeO) für den in Grundbuch AG Moers Blatt 2741 eingetragenen Hof ein.</w:t>
      </w:r>
    </w:p>
    <w:p>
      <w:pPr>
        <w:pStyle w:val="ListNumber"/>
      </w:pPr>
      <w:r>
        <w:rPr>
          <w:b/>
        </w:rPr>
        <w:t>Abfindung Mathis Driessen:</w:t>
      </w:r>
      <w:r>
        <w:t xml:space="preserve"> Mathis Driessen erhält als weichender Erbe eine Abfindung nach § 12 Abs. 1 HöfeO in Höhe des hälftigen Hofwerts, zahlbar in jährlichen Raten von 50.000 EUR, beginnend zwei Jahre nach dem Erbfall, ab Zinssatz 2 % p.a. (§ 12 Abs. 1 Satz 3 HöfeO).</w:t>
      </w:r>
    </w:p>
    <w:p>
      <w:pPr>
        <w:pStyle w:val="ListNumber"/>
      </w:pPr>
      <w:r>
        <w:rPr>
          <w:b/>
        </w:rPr>
        <w:t>Altenteilsrechte:</w:t>
      </w:r>
      <w:r>
        <w:t xml:space="preserve"> Hartmut und Almut Driessen behalten lebenslanges Wohnrecht am Altenteilshaus (Nebengebäude Labbecker Weg 14, ca. 140 m² Wohnfläche) sowie monatliche Altenteils-Barrente von 2.200 EUR (indexgebunden).</w:t>
      </w:r>
    </w:p>
    <w:p>
      <w:pPr>
        <w:pStyle w:val="ListNumber"/>
      </w:pPr>
      <w:r>
        <w:rPr>
          <w:b/>
        </w:rPr>
        <w:t>Verfügungsverbot:</w:t>
      </w:r>
      <w:r>
        <w:t xml:space="preserve"> Veräußerung, Belastung oder Verpachtung des Hofes durch Mareike bedarf bis zur vollständigen Abfindung des Mathis der Zustimmung des Nachlassgerichts (analog § 8 HöfeO).</w:t>
      </w:r>
    </w:p>
    <w:p>
      <w:pPr>
        <w:pStyle w:val="Heading3"/>
      </w:pPr>
      <w:r>
        <w:rPr>
          <w:rFonts w:ascii="Times New Roman" w:hAnsi="Times New Roman"/>
        </w:rPr>
        <w:t>2.3 Beteiligung Almut Driessen</w:t>
      </w:r>
    </w:p>
    <w:p>
      <w:pPr>
        <w:jc w:val="left"/>
      </w:pPr>
      <w:r>
        <w:t>Almut Driessen ist Mitunternehmerin der GbR, nicht Grundstückseigentümerin. Die GbR wird durch die Hofübergabe aufgelöst; Almut erhält als Abfindung aus der GbR ihren Anteil am Betriebsvermögen (Maschinen, Vorräte, laufende Forderungen). Dies ist im Auseinandersetzungsvertrag zu regeln (§§ 730 ff. BGB).</w:t>
      </w:r>
    </w:p>
    <w:p/>
    <w:p>
      <w:pPr>
        <w:pStyle w:val="Heading2"/>
      </w:pPr>
      <w:r>
        <w:rPr>
          <w:rFonts w:ascii="Times New Roman" w:hAnsi="Times New Roman"/>
        </w:rPr>
        <w:t>3. Notarielle Schritte</w:t>
      </w:r>
    </w:p>
    <w:p>
      <w:pPr>
        <w:pStyle w:val="Heading3"/>
      </w:pPr>
      <w:r>
        <w:rPr>
          <w:rFonts w:ascii="Times New Roman" w:hAnsi="Times New Roman"/>
        </w:rPr>
        <w:t>Schritt 1: Erbvertrag</w:t>
      </w:r>
    </w:p>
    <w:p>
      <w:pPr>
        <w:pStyle w:val="ListBullet"/>
      </w:pPr>
      <w:r>
        <w:rPr>
          <w:b/>
        </w:rPr>
        <w:t>Notar:</w:t>
      </w:r>
      <w:r>
        <w:t xml:space="preserve"> Notariat Winterfeld, Rheinstraße 120, 47799 Krefeld (mit Spezialisierung Landwirtschaftsrecht / HöfeO)</w:t>
      </w:r>
    </w:p>
    <w:p>
      <w:pPr>
        <w:pStyle w:val="ListBullet"/>
      </w:pPr>
      <w:r>
        <w:rPr>
          <w:b/>
        </w:rPr>
        <w:t>Beteiligte beim Erbvertrag:</w:t>
      </w:r>
      <w:r>
        <w:t xml:space="preserve"> Hartmut Driessen (Erblasser), Mareike Driessen (Hoferbin), ggf. Mathis Driessen (zur Erbverzichtserklärung nach § 2346 BGB, wird voraussichtlich ablehnen)</w:t>
      </w:r>
    </w:p>
    <w:p>
      <w:pPr>
        <w:pStyle w:val="ListBullet"/>
      </w:pPr>
      <w:r>
        <w:rPr>
          <w:b/>
        </w:rPr>
        <w:t>Termin:</w:t>
      </w:r>
      <w:r>
        <w:t xml:space="preserve"> angestrebt April 2026</w:t>
      </w:r>
    </w:p>
    <w:p>
      <w:pPr>
        <w:pStyle w:val="ListBullet"/>
      </w:pPr>
      <w:r>
        <w:rPr>
          <w:b/>
        </w:rPr>
        <w:t>Kosten:</w:t>
      </w:r>
      <w:r>
        <w:t xml:space="preserve"> Notargebühren nach GNotKG; Geschäftswert = Hofwert (ca. 1,3 Mio. EUR); Notargebühr ca. 6.000–8.000 EUR</w:t>
      </w:r>
    </w:p>
    <w:p>
      <w:pPr>
        <w:pStyle w:val="Heading3"/>
      </w:pPr>
      <w:r>
        <w:rPr>
          <w:rFonts w:ascii="Times New Roman" w:hAnsi="Times New Roman"/>
        </w:rPr>
        <w:t>Schritt 2: Grundbucheintragung</w:t>
      </w:r>
    </w:p>
    <w:p>
      <w:pPr>
        <w:jc w:val="left"/>
      </w:pPr>
      <w:r>
        <w:t xml:space="preserve">Nach Abschluss des Erbvertrags: Eintragung eines </w:t>
      </w:r>
      <w:r>
        <w:rPr>
          <w:b/>
        </w:rPr>
        <w:t>Verfügungsverbot-Vermerks</w:t>
      </w:r>
      <w:r>
        <w:t xml:space="preserve"> im Grundbuch (§ 899 BGB) zum Schutz des Mathis (verhindert Veräußerung vor Abfindungszahlung).</w:t>
      </w:r>
    </w:p>
    <w:p>
      <w:pPr>
        <w:pStyle w:val="Heading3"/>
      </w:pPr>
      <w:r>
        <w:rPr>
          <w:rFonts w:ascii="Times New Roman" w:hAnsi="Times New Roman"/>
        </w:rPr>
        <w:t>Schritt 3: Altenteilsrecht-Eintragung</w:t>
      </w:r>
    </w:p>
    <w:p>
      <w:pPr>
        <w:jc w:val="left"/>
      </w:pPr>
      <w:r>
        <w:t xml:space="preserve">Das Wohnrecht und die Leibrente (Altenteil) für Hartmut und Almut sind als </w:t>
      </w:r>
      <w:r>
        <w:rPr>
          <w:b/>
        </w:rPr>
        <w:t>beschränkte persönliche Dienstbarkeit</w:t>
      </w:r>
      <w:r>
        <w:t xml:space="preserve"> (§ 1090 BGB) im Grundbuch einzutragen, um Schutz auch gegenüber späteren Gläubigern zu gewährleisten.</w:t>
      </w:r>
    </w:p>
    <w:p/>
    <w:p>
      <w:pPr>
        <w:pStyle w:val="Heading2"/>
      </w:pPr>
      <w:r>
        <w:rPr>
          <w:rFonts w:ascii="Times New Roman" w:hAnsi="Times New Roman"/>
        </w:rPr>
        <w:t>4. Problematik: Mathis Driesens Vorgehen</w:t>
      </w:r>
    </w:p>
    <w:p>
      <w:pPr>
        <w:pStyle w:val="Heading3"/>
      </w:pPr>
      <w:r>
        <w:rPr>
          <w:rFonts w:ascii="Times New Roman" w:hAnsi="Times New Roman"/>
        </w:rPr>
        <w:t>4.1 Erbverzicht unter Druck</w:t>
      </w:r>
    </w:p>
    <w:p>
      <w:pPr>
        <w:jc w:val="left"/>
      </w:pPr>
      <w:r>
        <w:t>Mathis wird voraussichtlich den Erbvertrag nicht unterschreiben. Die freiwillige Erbverzichtsvereinbarung nach § 2346 BGB erfordert seine Zustimmung. Ohne Zustimmung bleibt der Pflichtteilsanspruch nach §§ 2303 ff. BGB bestehen.</w:t>
      </w:r>
    </w:p>
    <w:p>
      <w:pPr>
        <w:jc w:val="left"/>
      </w:pPr>
      <w:r>
        <w:t>Die Höfeordnung löst dieses Problem: Der Pflichtteil des Mathis berechnet sich nach § 12 HöfeO (nicht nach BGB-Nachlasswert), was seinen Anspruch erheblich mindert. Mathis müsste den Unterschied zwischen dem HöfeO-Pflichtteil und dem BGB-Pflichtteil klagen, was nach der klaren Rechtslage des § 12 HöfeO aussichtslos wäre (BGH, Beschl. v. 27.01.2016 — IV ZB 33/15, NJW 2016, 1370 — HöfeO geht BGB-Erbrecht vor).</w:t>
      </w:r>
    </w:p>
    <w:p>
      <w:pPr>
        <w:pStyle w:val="Heading3"/>
      </w:pPr>
      <w:r>
        <w:rPr>
          <w:rFonts w:ascii="Times New Roman" w:hAnsi="Times New Roman"/>
        </w:rPr>
        <w:t>4.2 Anfechtungsrisiken</w:t>
      </w:r>
    </w:p>
    <w:p>
      <w:pPr>
        <w:jc w:val="left"/>
      </w:pPr>
      <w:r>
        <w:t xml:space="preserve">Mathis könnte den Erbvertrag wegen </w:t>
      </w:r>
      <w:r>
        <w:rPr>
          <w:b/>
        </w:rPr>
        <w:t>Irrtums oder arglistiger Täuschung</w:t>
      </w:r>
      <w:r>
        <w:t xml:space="preserve"> (§§ 2281 Abs. 1, 119, 123 BGB) anfechten, wenn er behauptet, die finanzielle Tragweite sei ihm nicht klar gewesen. Dem kann durch eine sorgfältige notarielle Belehrung (§ 17 BeurkG) und den detaillierten Vergleich HöfeO-Abfindung vs. BGB-Pflichtteil begegnet werden.</w:t>
      </w:r>
    </w:p>
    <w:p/>
    <w:p>
      <w:pPr>
        <w:pStyle w:val="Heading2"/>
      </w:pPr>
      <w:r>
        <w:rPr>
          <w:rFonts w:ascii="Times New Roman" w:hAnsi="Times New Roman"/>
        </w:rPr>
        <w:t>5. Studium und Betriebsübergabe: Praktische Vorbereitung</w:t>
      </w:r>
    </w:p>
    <w:p>
      <w:pPr>
        <w:pStyle w:val="Heading3"/>
      </w:pPr>
      <w:r>
        <w:rPr>
          <w:rFonts w:ascii="Times New Roman" w:hAnsi="Times New Roman"/>
        </w:rPr>
        <w:t>Stufen der Übernahme</w:t>
      </w:r>
    </w:p>
    <w:p>
      <w:pPr>
        <w:pStyle w:val="ListBullet"/>
      </w:pPr>
      <w:r>
        <w:rPr>
          <w:b/>
        </w:rPr>
        <w:t>Phase 1 (bis Studienabschluss, ca. Okt. 2026):</w:t>
      </w:r>
      <w:r>
        <w:t xml:space="preserve"> Mareike Driessen arbeitet in den Semesterferien vollständig im Betrieb (mind. 50 % Anwesenheit); erste formelle Verantwortungsübertragung für Direktvermarktung und Hofverkauf.</w:t>
      </w:r>
    </w:p>
    <w:p>
      <w:pPr>
        <w:pStyle w:val="ListBullet"/>
      </w:pPr>
      <w:r>
        <w:rPr>
          <w:b/>
        </w:rPr>
        <w:t>Phase 2 (ab Okt. 2026 bis Sept. 2027):</w:t>
      </w:r>
      <w:r>
        <w:t xml:space="preserve"> Übergangsjahr, Mareike führt den Betrieb unter Aufsicht des Vaters. Hartmut zieht sich schrittweise zurück.</w:t>
      </w:r>
    </w:p>
    <w:p>
      <w:pPr>
        <w:pStyle w:val="ListBullet"/>
      </w:pPr>
      <w:r>
        <w:rPr>
          <w:b/>
        </w:rPr>
        <w:t>Phase 3 (ab Okt. 2027):</w:t>
      </w:r>
      <w:r>
        <w:t xml:space="preserve"> Vollständige Übergabe; Hartmut und Almut in Altenteil. Neugründung als Einzelunternehmen Mareike Driessen oder GbR Mareike/Ehemann (falls verheiratet).</w:t>
      </w:r>
    </w:p>
    <w:p>
      <w:pPr>
        <w:pStyle w:val="Heading3"/>
      </w:pPr>
      <w:r>
        <w:rPr>
          <w:rFonts w:ascii="Times New Roman" w:hAnsi="Times New Roman"/>
        </w:rPr>
        <w:t>Weiterbildung</w:t>
      </w:r>
    </w:p>
    <w:p>
      <w:pPr>
        <w:jc w:val="left"/>
      </w:pPr>
      <w:r>
        <w:t xml:space="preserve">Empfohlen: </w:t>
      </w:r>
      <w:r>
        <w:rPr>
          <w:b/>
        </w:rPr>
        <w:t>Meisterkurs</w:t>
      </w:r>
      <w:r>
        <w:t xml:space="preserve"> Landwirtschaft NRW (Landwirtschaftskammer NRW, Außenstelle Kleve), da der Meistertitel die Förderkulisse deutlich verbessert (EU-Junglandwirte-Prämie nach § 10 GAPDZV nur für Landwirtschaftsmeister oder gleichwertige Qualifikation, 3 Jahre nach Betriebsübernahme).</w:t>
      </w:r>
    </w:p>
    <w:p>
      <w:pPr>
        <w:jc w:val="left"/>
      </w:pPr>
      <w:r>
        <w:rPr>
          <w:i/>
        </w:rPr>
        <w:t>Rechtsquellen: §§ 7, 12, 14 HöfeO; §§ 2274 ff., 2303, 2346 BGB; § 1090 BGB; §§ 730 ff. BGB; § 899 BGB; § 17 BeurkG; BGH IV ZB 33/15 (bundesgerichtshof.de, NJW 2016, 1370); § 10 GAPDZV.</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