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OWiG-Akte: Gewerbe-, Datenschutz-, Tierschutz- und Verkehrsbußgeld mit Anhörung, Einspruch, Akteneinsicht und Verjährung.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