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Chronologie und Aktenstand</w:t>
      </w:r>
    </w:p>
    <w:p>
      <w:pPr>
        <w:pStyle w:val="Heading2"/>
      </w:pPr>
      <w:r>
        <w:rPr>
          <w:rFonts w:ascii="Times New Roman" w:hAnsi="Times New Roman"/>
        </w:rPr>
        <w:t>Beteiligte</w:t>
      </w:r>
    </w:p>
    <w:p>
      <w:pPr>
        <w:jc w:val="left"/>
      </w:pPr>
      <w:r>
        <w:t>Markthalle Neufeld GmbH, Ordnungsamt, Datenschutzbehörde, Veterinäramt, Geschäftsführung und externe Kanzlei.</w:t>
      </w:r>
    </w:p>
    <w:p>
      <w:pPr>
        <w:pStyle w:val="Heading2"/>
      </w:pPr>
      <w:r>
        <w:rPr>
          <w:rFonts w:ascii="Times New Roman" w:hAnsi="Times New Roman"/>
        </w:rPr>
        <w:t>Ausgeschriebener Aktenstand</w:t>
      </w:r>
    </w:p>
    <w:p>
      <w:pPr>
        <w:jc w:val="left"/>
      </w:pPr>
      <w:r>
        <w:t>Drei Behörden führen parallele Bußgeldverfahren; Aussageverhalten, Akteneinsicht, interne Aufklärung und Einspruchsfrist müssen koordiniert werden. Die Unterlagen sind nicht sauber sortiert. Es gibt Originaldokumente, spätere Zusammenfassungen, Telefonnotizen und einzelne Behauptungen, die erst noch belegt werden müssen. Die Bearbeitung darf deshalb nicht bei einer Kurzthese stehen bleiben. Sie muss aus jedem Aktenstück herausarbeiten, welche Tatsache wirklich belegt ist und welche rechtliche Folge daran hängt.</w:t>
      </w:r>
    </w:p>
    <w:p>
      <w:pPr>
        <w:pStyle w:val="Heading2"/>
      </w:pPr>
      <w:r>
        <w:rPr>
          <w:rFonts w:ascii="Times New Roman" w:hAnsi="Times New Roman"/>
        </w:rPr>
        <w:t>Rechtlicher Rahmen</w:t>
      </w:r>
    </w:p>
    <w:p>
      <w:pPr>
        <w:jc w:val="left"/>
      </w:pPr>
      <w:r>
        <w:t>OWiG, StPO-Verweisungen, DSGVO-Bußgeldlogik, Gewerberecht, TierSchG, Einspruch und gerichtliches Verfahren. Der Rechtsrahmen dient nicht als Schmuckliste, sondern als Sortierwerkzeug: Zuständigkeit, Frist, Anhörung, Beweiswert, Ermessen, Verhältnismäßigkeit, Kostenfolge und mögliche Rechtsbehelfe werden jeweils getrennt geprüft.</w:t>
      </w:r>
    </w:p>
    <w:p>
      <w:pPr>
        <w:pStyle w:val="Heading2"/>
      </w:pPr>
      <w:r>
        <w:rPr>
          <w:rFonts w:ascii="Times New Roman" w:hAnsi="Times New Roman"/>
        </w:rPr>
        <w:t>Vollständiger Prüfstand</w:t>
      </w:r>
    </w:p>
    <w:p>
      <w:pPr>
        <w:jc w:val="left"/>
      </w:pPr>
      <w:r>
        <w:t>Erstens ist zu klären, ob der Vorwurf oder Anspruch überhaupt den richtigen Adressaten trifft. Zweitens muss festgestellt werden, ob die behauptete Handlung tatsächlich in der dokumentierten Form stattgefunden hat. Drittens ist zu trennen zwischen rechtlicher Pflichtverletzung, bloßem Organisationsmangel und nachträglich heilbarem Dokumentationsdefizit. Viertens braucht die nächste Erklärung eine klare Tatsachengrundlage, damit keine unnötigen Zugeständnisse oder widersprüchlichen Darstellungen entstehen.</w:t>
      </w:r>
    </w:p>
    <w:p>
      <w:pPr>
        <w:pStyle w:val="Heading2"/>
      </w:pPr>
      <w:r>
        <w:rPr>
          <w:rFonts w:ascii="Times New Roman" w:hAnsi="Times New Roman"/>
        </w:rPr>
        <w:t>Konkrete Arbeitsfragen</w:t>
      </w:r>
    </w:p>
    <w:p>
      <w:pPr>
        <w:pStyle w:val="ListBullet"/>
      </w:pPr>
      <w:r>
        <w:t>Welche Unterlage ist Original, welche nur Weiterleitung?</w:t>
      </w:r>
    </w:p>
    <w:p>
      <w:pPr>
        <w:pStyle w:val="ListBullet"/>
      </w:pPr>
      <w:r>
        <w:t>Welche Person kann den Vorgang aus eigener Wahrnehmung schildern?</w:t>
      </w:r>
    </w:p>
    <w:p>
      <w:pPr>
        <w:pStyle w:val="ListBullet"/>
      </w:pPr>
      <w:r>
        <w:t>Welche Frist läuft, und ab welchem Zugang?</w:t>
      </w:r>
    </w:p>
    <w:p>
      <w:pPr>
        <w:pStyle w:val="ListBullet"/>
      </w:pPr>
      <w:r>
        <w:t>Welche Rechtsfolge wäre bei ungünstiger Lesart realistisch?</w:t>
      </w:r>
    </w:p>
    <w:p>
      <w:pPr>
        <w:pStyle w:val="ListBullet"/>
      </w:pPr>
      <w:r>
        <w:t>Welche Punkte sollten intern geklärt werden, bevor nach außen geschrieben wird?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