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nächster Schritt</w:t>
      </w:r>
    </w:p>
    <w:p>
      <w:pPr>
        <w:pStyle w:val="Heading2"/>
      </w:pPr>
      <w:r>
        <w:rPr>
          <w:rFonts w:ascii="Times New Roman" w:hAnsi="Times New Roman"/>
        </w:rPr>
        <w:t>Ziel</w:t>
      </w:r>
    </w:p>
    <w:p>
      <w:pPr>
        <w:jc w:val="left"/>
      </w:pPr>
      <w:r>
        <w:t xml:space="preserve">Aus der Akte soll ein belastbarer erster Schritt im Bereich </w:t>
      </w:r>
      <w:r>
        <w:rPr>
          <w:b/>
        </w:rPr>
        <w:t>Ordnungswidrigkeitenrecht</w:t>
      </w:r>
      <w:r>
        <w:t xml:space="preserve"> entstehen.</w:t>
      </w:r>
    </w:p>
    <w:p>
      <w:pPr>
        <w:pStyle w:val="Heading2"/>
      </w:pPr>
      <w:r>
        <w:rPr>
          <w:rFonts w:ascii="Times New Roman" w:hAnsi="Times New Roman"/>
        </w:rPr>
        <w:t>Arbeitsauftrag an das Plugin</w:t>
      </w:r>
    </w:p>
    <w:p>
      <w:pPr>
        <w:pStyle w:val="ListNumber"/>
      </w:pPr>
      <w:r>
        <w:t>Akte zusammenfassen.</w:t>
      </w:r>
    </w:p>
    <w:p>
      <w:pPr>
        <w:pStyle w:val="ListNumber"/>
      </w:pPr>
      <w:r>
        <w:t>Zuständigkeit und Rechtsgrundlage live prüfen.</w:t>
      </w:r>
    </w:p>
    <w:p>
      <w:pPr>
        <w:pStyle w:val="ListNumber"/>
      </w:pPr>
      <w:r>
        <w:t>Kosten-, Fristen- und Beweisrisiko als Ampel ausgeben.</w:t>
      </w:r>
    </w:p>
    <w:p>
      <w:pPr>
        <w:pStyle w:val="ListNumber"/>
      </w:pPr>
      <w:r>
        <w:t>Entwurf für den nächsten Antrag, Widerspruch, Klagebaustein oder Behördenbrief erstellen.</w:t>
      </w:r>
    </w:p>
    <w:p>
      <w:pPr>
        <w:pStyle w:val="ListNumber"/>
      </w:pPr>
      <w:r>
        <w:t>Eine kurze, verständliche Erklärung für die Mandantin hinzufügen.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