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w:t>
      </w:r>
    </w:p>
    <w:p>
      <w:pPr>
        <w:pStyle w:val="Heading2"/>
      </w:pPr>
      <w:r>
        <w:rPr>
          <w:rFonts w:ascii="Times New Roman" w:hAnsi="Times New Roman"/>
        </w:rPr>
        <w:t>Beteiligte</w:t>
      </w:r>
    </w:p>
    <w:p>
      <w:pPr>
        <w:jc w:val="left"/>
      </w:pPr>
      <w:r>
        <w:t>Markthalle Neufeld GmbH, Ordnungsamt, Datenschutzbehörde, Veterinäramt, Geschäftsführung und externe Kanzlei.</w:t>
      </w:r>
    </w:p>
    <w:p>
      <w:pPr>
        <w:pStyle w:val="Heading2"/>
      </w:pPr>
      <w:r>
        <w:rPr>
          <w:rFonts w:ascii="Times New Roman" w:hAnsi="Times New Roman"/>
        </w:rPr>
        <w:t>Ausgeschriebener Aktenstand</w:t>
      </w:r>
    </w:p>
    <w:p>
      <w:pPr>
        <w:jc w:val="left"/>
      </w:pPr>
      <w:r>
        <w:t>Drei Behörden führen parallele Bußgeldverfahren; Aussageverhalten, Akteneinsicht, interne Aufklärung und Einspruchsfrist müssen koordiniert werden.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OWiG, StPO-Verweisungen, DSGVO-Bußgeldlogik, Gewerberecht, TierSchG, Einspruch und gerichtliches Verfahren.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