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Bußgeldakte Gewerbe, Datenschutz und Tierhaltung</w:t>
      </w:r>
    </w:p>
    <w:p>
      <w:pPr>
        <w:pStyle w:val="Heading2"/>
      </w:pPr>
      <w:r>
        <w:rPr>
          <w:rFonts w:ascii="Times New Roman" w:hAnsi="Times New Roman"/>
        </w:rPr>
        <w:t>Vollständige Gesprächsnotiz</w:t>
      </w:r>
    </w:p>
    <w:p>
      <w:pPr>
        <w:jc w:val="left"/>
      </w:pPr>
      <w:r>
        <w:t>Am 04.06.2026 schilderte Hofladen Pappelkrug GmbH und Geschäftsführerin Maren Lucht die Angelegenheit in einem längeren Telefonat. Gegenstand ist Drei parallele Bußgeldvorgänge: Kamera im Verkaufsraum, verspätete Gewerbeanzeige für den Wochenmarktstand und veterinärrechtliche Beanstandung der Kühlkette.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Datenschutzbehörde verlangt Stellungnahme zur Videoüberwachung, das Ordnungsamt moniert fehlende Sondernutzungserlaubnis, und das Veterinäramt hält Fotos von ungekennzeichneten Kühlboxen vor. Eine Mitarbeiterin hat vorschnell telefonisch erklärt, “das machen wir seit Jahren so”.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Geschäftsführerin an die Kanzlei</w:t>
      </w:r>
    </w:p>
    <w:p>
      <w:pPr>
        <w:jc w:val="left"/>
      </w:pPr>
      <w:r>
        <w:t>```</w:t>
      </w:r>
    </w:p>
    <w:p>
      <w:pPr>
        <w:jc w:val="left"/>
      </w:pPr>
      <w:r>
        <w:t>Von:      maren.lucht@pappelkrug.test</w:t>
      </w:r>
    </w:p>
    <w:p>
      <w:pPr>
        <w:jc w:val="left"/>
      </w:pPr>
      <w:r>
        <w:t>An:       kanzlei@owi-praxis.test</w:t>
      </w:r>
    </w:p>
    <w:p>
      <w:pPr>
        <w:jc w:val="left"/>
      </w:pPr>
      <w:r>
        <w:t>Datum:    Do 04.06.2026, 08:47 Uhr</w:t>
      </w:r>
    </w:p>
    <w:p>
      <w:pPr>
        <w:jc w:val="left"/>
      </w:pPr>
      <w:r>
        <w:t>Betreff:  Drei Anhörungen am selben Tag - bitte sortieren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trennen Sie Zuständigkeiten, Anhörungsfristen, Selbstbelastungsrisiken und die Frage, wann Schweigen klüger ist als eine schnelle Entschuldigung.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Hofladen Pappelkrug GmbH und Geschäftsführerin Maren Lucht</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Verteidigungs- und Fristenvermerk</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