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Beteiligte, Verfahrensübersicht und Zuständigkeiten</w:t>
      </w:r>
    </w:p>
    <w:p>
      <w:pPr>
        <w:jc w:val="left"/>
      </w:pPr>
      <w:r>
        <w:rPr>
          <w:b/>
        </w:rPr>
        <w:t>Aktenzeichen intern:</w:t>
      </w:r>
      <w:r>
        <w:t xml:space="preserve"> VM-2026-GR-001</w:t>
      </w:r>
    </w:p>
    <w:p>
      <w:pPr>
        <w:jc w:val="left"/>
      </w:pPr>
      <w:r>
        <w:rPr>
          <w:b/>
        </w:rPr>
        <w:t>Datum:</w:t>
      </w:r>
      <w:r>
        <w:t xml:space="preserve"> 25. Januar 2026</w:t>
      </w:r>
    </w:p>
    <w:p>
      <w:pPr>
        <w:jc w:val="left"/>
      </w:pPr>
      <w:r>
        <w:rPr>
          <w:b/>
        </w:rPr>
        <w:t>Bearbeiter:</w:t>
      </w:r>
      <w:r>
        <w:t xml:space="preserve"> RA Tobias Fehrenbach</w:t>
      </w:r>
    </w:p>
    <w:p/>
    <w:p>
      <w:pPr>
        <w:pStyle w:val="Heading2"/>
      </w:pPr>
      <w:r>
        <w:rPr>
          <w:rFonts w:ascii="Times New Roman" w:hAnsi="Times New Roman"/>
        </w:rPr>
        <w:t>1. Überblick Verfahrenslandschaft</w:t>
      </w:r>
    </w:p>
    <w:p>
      <w:pPr>
        <w:jc w:val="left"/>
      </w:pPr>
      <w:r>
        <w:t>Das vorliegende Mandat gliedert sich in sechs parallel zu führende Verfahrensstränge, die inhaltlich eng miteinander verflochten sind, aber vor unterschiedlichen Spruchkörpern geführt werden. Eine sorgfältige Koordination ist unerlässlich, um widersprüchliche Entscheidungen zu vermeiden und taktische Synergien zu nutzen.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Verfahren</w:t>
            </w:r>
          </w:p>
        </w:tc>
        <w:tc>
          <w:tcPr>
            <w:tcW w:type="dxa" w:w="1814"/>
          </w:tcPr>
          <w:p>
            <w:r>
              <w:rPr>
                <w:rFonts w:ascii="Times New Roman" w:hAnsi="Times New Roman"/>
                <w:b/>
                <w:sz w:val="20"/>
              </w:rPr>
              <w:t>Gericht/Behörde</w:t>
            </w:r>
          </w:p>
        </w:tc>
        <w:tc>
          <w:tcPr>
            <w:tcW w:type="dxa" w:w="1814"/>
          </w:tcPr>
          <w:p>
            <w:r>
              <w:rPr>
                <w:rFonts w:ascii="Times New Roman" w:hAnsi="Times New Roman"/>
                <w:b/>
                <w:sz w:val="20"/>
              </w:rPr>
              <w:t>Aktenzeichen</w:t>
            </w:r>
          </w:p>
        </w:tc>
        <w:tc>
          <w:tcPr>
            <w:tcW w:type="dxa" w:w="1814"/>
          </w:tcPr>
          <w:p>
            <w:r>
              <w:rPr>
                <w:rFonts w:ascii="Times New Roman" w:hAnsi="Times New Roman"/>
                <w:b/>
                <w:sz w:val="20"/>
              </w:rPr>
              <w:t>Status</w:t>
            </w:r>
          </w:p>
        </w:tc>
      </w:tr>
      <w:tr>
        <w:tc>
          <w:tcPr>
            <w:tcW w:type="dxa" w:w="1814"/>
          </w:tcPr>
          <w:p>
            <w:r>
              <w:rPr>
                <w:rFonts w:ascii="Times New Roman" w:hAnsi="Times New Roman"/>
                <w:sz w:val="20"/>
              </w:rPr>
              <w:t>1</w:t>
            </w:r>
          </w:p>
        </w:tc>
        <w:tc>
          <w:tcPr>
            <w:tcW w:type="dxa" w:w="1814"/>
          </w:tcPr>
          <w:p>
            <w:r>
              <w:rPr>
                <w:rFonts w:ascii="Times New Roman" w:hAnsi="Times New Roman"/>
                <w:sz w:val="20"/>
              </w:rPr>
              <w:t>UPC-Patentverletzungsklage</w:t>
            </w:r>
          </w:p>
        </w:tc>
        <w:tc>
          <w:tcPr>
            <w:tcW w:type="dxa" w:w="1814"/>
          </w:tcPr>
          <w:p>
            <w:r>
              <w:rPr>
                <w:rFonts w:ascii="Times New Roman" w:hAnsi="Times New Roman"/>
                <w:sz w:val="20"/>
              </w:rPr>
              <w:t>UPC Lokale Kammer Düsseldorf</w:t>
            </w:r>
          </w:p>
        </w:tc>
        <w:tc>
          <w:tcPr>
            <w:tcW w:type="dxa" w:w="1814"/>
          </w:tcPr>
          <w:p>
            <w:r>
              <w:rPr>
                <w:rFonts w:ascii="Times New Roman" w:hAnsi="Times New Roman"/>
                <w:sz w:val="20"/>
              </w:rPr>
              <w:t>ACT_0188/2026</w:t>
            </w:r>
          </w:p>
        </w:tc>
        <w:tc>
          <w:tcPr>
            <w:tcW w:type="dxa" w:w="1814"/>
          </w:tcPr>
          <w:p>
            <w:r>
              <w:rPr>
                <w:rFonts w:ascii="Times New Roman" w:hAnsi="Times New Roman"/>
                <w:sz w:val="20"/>
              </w:rPr>
              <w:t>Klage eingereicht 04.02.2026</w:t>
            </w:r>
          </w:p>
        </w:tc>
      </w:tr>
      <w:tr>
        <w:tc>
          <w:tcPr>
            <w:tcW w:type="dxa" w:w="1814"/>
          </w:tcPr>
          <w:p>
            <w:r>
              <w:rPr>
                <w:rFonts w:ascii="Times New Roman" w:hAnsi="Times New Roman"/>
                <w:sz w:val="20"/>
              </w:rPr>
              <w:t>2</w:t>
            </w:r>
          </w:p>
        </w:tc>
        <w:tc>
          <w:tcPr>
            <w:tcW w:type="dxa" w:w="1814"/>
          </w:tcPr>
          <w:p>
            <w:r>
              <w:rPr>
                <w:rFonts w:ascii="Times New Roman" w:hAnsi="Times New Roman"/>
                <w:sz w:val="20"/>
              </w:rPr>
              <w:t>Einstweilige Verfügung UPC</w:t>
            </w:r>
          </w:p>
        </w:tc>
        <w:tc>
          <w:tcPr>
            <w:tcW w:type="dxa" w:w="1814"/>
          </w:tcPr>
          <w:p>
            <w:r>
              <w:rPr>
                <w:rFonts w:ascii="Times New Roman" w:hAnsi="Times New Roman"/>
                <w:sz w:val="20"/>
              </w:rPr>
              <w:t>UPC Lokale Kammer Düsseldorf</w:t>
            </w:r>
          </w:p>
        </w:tc>
        <w:tc>
          <w:tcPr>
            <w:tcW w:type="dxa" w:w="1814"/>
          </w:tcPr>
          <w:p>
            <w:r>
              <w:rPr>
                <w:rFonts w:ascii="Times New Roman" w:hAnsi="Times New Roman"/>
                <w:sz w:val="20"/>
              </w:rPr>
              <w:t>EVF_0044/2026</w:t>
            </w:r>
          </w:p>
        </w:tc>
        <w:tc>
          <w:tcPr>
            <w:tcW w:type="dxa" w:w="1814"/>
          </w:tcPr>
          <w:p>
            <w:r>
              <w:rPr>
                <w:rFonts w:ascii="Times New Roman" w:hAnsi="Times New Roman"/>
                <w:sz w:val="20"/>
              </w:rPr>
              <w:t>Antrag in Vorbereitung</w:t>
            </w:r>
          </w:p>
        </w:tc>
      </w:tr>
      <w:tr>
        <w:tc>
          <w:tcPr>
            <w:tcW w:type="dxa" w:w="1814"/>
          </w:tcPr>
          <w:p>
            <w:r>
              <w:rPr>
                <w:rFonts w:ascii="Times New Roman" w:hAnsi="Times New Roman"/>
                <w:sz w:val="20"/>
              </w:rPr>
              <w:t>3</w:t>
            </w:r>
          </w:p>
        </w:tc>
        <w:tc>
          <w:tcPr>
            <w:tcW w:type="dxa" w:w="1814"/>
          </w:tcPr>
          <w:p>
            <w:r>
              <w:rPr>
                <w:rFonts w:ascii="Times New Roman" w:hAnsi="Times New Roman"/>
                <w:sz w:val="20"/>
              </w:rPr>
              <w:t>Nichtigkeitsklage (Beklagter)</w:t>
            </w:r>
          </w:p>
        </w:tc>
        <w:tc>
          <w:tcPr>
            <w:tcW w:type="dxa" w:w="1814"/>
          </w:tcPr>
          <w:p>
            <w:r>
              <w:rPr>
                <w:rFonts w:ascii="Times New Roman" w:hAnsi="Times New Roman"/>
                <w:sz w:val="20"/>
              </w:rPr>
              <w:t>BPatG München</w:t>
            </w:r>
          </w:p>
        </w:tc>
        <w:tc>
          <w:tcPr>
            <w:tcW w:type="dxa" w:w="1814"/>
          </w:tcPr>
          <w:p>
            <w:r>
              <w:rPr>
                <w:rFonts w:ascii="Times New Roman" w:hAnsi="Times New Roman"/>
                <w:sz w:val="20"/>
              </w:rPr>
              <w:t>4 Ni 18/26</w:t>
            </w:r>
          </w:p>
        </w:tc>
        <w:tc>
          <w:tcPr>
            <w:tcW w:type="dxa" w:w="1814"/>
          </w:tcPr>
          <w:p>
            <w:r>
              <w:rPr>
                <w:rFonts w:ascii="Times New Roman" w:hAnsi="Times New Roman"/>
                <w:sz w:val="20"/>
              </w:rPr>
              <w:t>Eingang Klage Bochstaedt 12.03.2026</w:t>
            </w:r>
          </w:p>
        </w:tc>
      </w:tr>
      <w:tr>
        <w:tc>
          <w:tcPr>
            <w:tcW w:type="dxa" w:w="1814"/>
          </w:tcPr>
          <w:p>
            <w:r>
              <w:rPr>
                <w:rFonts w:ascii="Times New Roman" w:hAnsi="Times New Roman"/>
                <w:sz w:val="20"/>
              </w:rPr>
              <w:t>4</w:t>
            </w:r>
          </w:p>
        </w:tc>
        <w:tc>
          <w:tcPr>
            <w:tcW w:type="dxa" w:w="1814"/>
          </w:tcPr>
          <w:p>
            <w:r>
              <w:rPr>
                <w:rFonts w:ascii="Times New Roman" w:hAnsi="Times New Roman"/>
                <w:sz w:val="20"/>
              </w:rPr>
              <w:t>Markenrechtliches EVf-Verfahren</w:t>
            </w:r>
          </w:p>
        </w:tc>
        <w:tc>
          <w:tcPr>
            <w:tcW w:type="dxa" w:w="1814"/>
          </w:tcPr>
          <w:p>
            <w:r>
              <w:rPr>
                <w:rFonts w:ascii="Times New Roman" w:hAnsi="Times New Roman"/>
                <w:sz w:val="20"/>
              </w:rPr>
              <w:t>LG Stuttgart / OLG Stuttgart</w:t>
            </w:r>
          </w:p>
        </w:tc>
        <w:tc>
          <w:tcPr>
            <w:tcW w:type="dxa" w:w="1814"/>
          </w:tcPr>
          <w:p>
            <w:r>
              <w:rPr>
                <w:rFonts w:ascii="Times New Roman" w:hAnsi="Times New Roman"/>
                <w:sz w:val="20"/>
              </w:rPr>
              <w:t>17 O 188/26 (erwartet)</w:t>
            </w:r>
          </w:p>
        </w:tc>
        <w:tc>
          <w:tcPr>
            <w:tcW w:type="dxa" w:w="1814"/>
          </w:tcPr>
          <w:p>
            <w:r>
              <w:rPr>
                <w:rFonts w:ascii="Times New Roman" w:hAnsi="Times New Roman"/>
                <w:sz w:val="20"/>
              </w:rPr>
              <w:t>Abmahnung versandt 03.02.2026</w:t>
            </w:r>
          </w:p>
        </w:tc>
      </w:tr>
      <w:tr>
        <w:tc>
          <w:tcPr>
            <w:tcW w:type="dxa" w:w="1814"/>
          </w:tcPr>
          <w:p>
            <w:r>
              <w:rPr>
                <w:rFonts w:ascii="Times New Roman" w:hAnsi="Times New Roman"/>
                <w:sz w:val="20"/>
              </w:rPr>
              <w:t>5</w:t>
            </w:r>
          </w:p>
        </w:tc>
        <w:tc>
          <w:tcPr>
            <w:tcW w:type="dxa" w:w="1814"/>
          </w:tcPr>
          <w:p>
            <w:r>
              <w:rPr>
                <w:rFonts w:ascii="Times New Roman" w:hAnsi="Times New Roman"/>
                <w:sz w:val="20"/>
              </w:rPr>
              <w:t>GeschG-Verfahren</w:t>
            </w:r>
          </w:p>
        </w:tc>
        <w:tc>
          <w:tcPr>
            <w:tcW w:type="dxa" w:w="1814"/>
          </w:tcPr>
          <w:p>
            <w:r>
              <w:rPr>
                <w:rFonts w:ascii="Times New Roman" w:hAnsi="Times New Roman"/>
                <w:sz w:val="20"/>
              </w:rPr>
              <w:t>LG Stuttgart</w:t>
            </w:r>
          </w:p>
        </w:tc>
        <w:tc>
          <w:tcPr>
            <w:tcW w:type="dxa" w:w="1814"/>
          </w:tcPr>
          <w:p>
            <w:r>
              <w:rPr>
                <w:rFonts w:ascii="Times New Roman" w:hAnsi="Times New Roman"/>
                <w:sz w:val="20"/>
              </w:rPr>
              <w:t>Anhängig; Vorbereitung</w:t>
            </w:r>
          </w:p>
        </w:tc>
        <w:tc>
          <w:tcPr>
            <w:tcW w:type="dxa" w:w="1814"/>
          </w:tcPr>
          <w:p>
            <w:r>
              <w:rPr>
                <w:rFonts w:ascii="Times New Roman" w:hAnsi="Times New Roman"/>
                <w:sz w:val="20"/>
              </w:rPr>
              <w:t>Sicherungsantrag in Prüfung</w:t>
            </w:r>
          </w:p>
        </w:tc>
      </w:tr>
      <w:tr>
        <w:tc>
          <w:tcPr>
            <w:tcW w:type="dxa" w:w="1814"/>
          </w:tcPr>
          <w:p>
            <w:r>
              <w:rPr>
                <w:rFonts w:ascii="Times New Roman" w:hAnsi="Times New Roman"/>
                <w:sz w:val="20"/>
              </w:rPr>
              <w:t>6</w:t>
            </w:r>
          </w:p>
        </w:tc>
        <w:tc>
          <w:tcPr>
            <w:tcW w:type="dxa" w:w="1814"/>
          </w:tcPr>
          <w:p>
            <w:r>
              <w:rPr>
                <w:rFonts w:ascii="Times New Roman" w:hAnsi="Times New Roman"/>
                <w:sz w:val="20"/>
              </w:rPr>
              <w:t>Grenzbeschlagnahme</w:t>
            </w:r>
          </w:p>
        </w:tc>
        <w:tc>
          <w:tcPr>
            <w:tcW w:type="dxa" w:w="1814"/>
          </w:tcPr>
          <w:p>
            <w:r>
              <w:rPr>
                <w:rFonts w:ascii="Times New Roman" w:hAnsi="Times New Roman"/>
                <w:sz w:val="20"/>
              </w:rPr>
              <w:t>Hauptzollamt Frankfurt am Main</w:t>
            </w:r>
          </w:p>
        </w:tc>
        <w:tc>
          <w:tcPr>
            <w:tcW w:type="dxa" w:w="1814"/>
          </w:tcPr>
          <w:p>
            <w:r>
              <w:rPr>
                <w:rFonts w:ascii="Times New Roman" w:hAnsi="Times New Roman"/>
                <w:sz w:val="20"/>
              </w:rPr>
              <w:t>ZA-2026-FRA-0381</w:t>
            </w:r>
          </w:p>
        </w:tc>
        <w:tc>
          <w:tcPr>
            <w:tcW w:type="dxa" w:w="1814"/>
          </w:tcPr>
          <w:p>
            <w:r>
              <w:rPr>
                <w:rFonts w:ascii="Times New Roman" w:hAnsi="Times New Roman"/>
                <w:sz w:val="20"/>
              </w:rPr>
              <w:t>Anzeige gestellt 10.03.2026</w:t>
            </w:r>
          </w:p>
        </w:tc>
      </w:tr>
    </w:tbl>
    <w:p/>
    <w:p>
      <w:pPr>
        <w:pStyle w:val="Heading2"/>
      </w:pPr>
      <w:r>
        <w:rPr>
          <w:rFonts w:ascii="Times New Roman" w:hAnsi="Times New Roman"/>
        </w:rPr>
        <w:t>2. Detaildarstellung der Beklagten</w:t>
      </w:r>
    </w:p>
    <w:p>
      <w:pPr>
        <w:pStyle w:val="Heading3"/>
      </w:pPr>
      <w:r>
        <w:rPr>
          <w:rFonts w:ascii="Times New Roman" w:hAnsi="Times New Roman"/>
        </w:rPr>
        <w:t>2.1 TitanOrtho Sp. z o.o. (Beklagte zu 1)</w:t>
      </w:r>
    </w:p>
    <w:p>
      <w:pPr>
        <w:jc w:val="left"/>
      </w:pPr>
      <w:r>
        <w:t>TitanOrtho wurde 2019 in Wroclaw gegründet und spezialisierte sich auf die Herstellung von Hüft- und Knieimplantaten aus Titanlegierungen. Das Unternehmen beschäftigt nach eigenen Angaben 85 Mitarbeiter und verfügt über eine Fertigungsanlage in Wroclaw sowie ein Entwicklungszentrum in Krakau. TitanOrtho ist im polnischen Unternehmensregister (KRS) unter der Nummer 0000712483 eingetragen.</w:t>
      </w:r>
    </w:p>
    <w:p>
      <w:pPr>
        <w:jc w:val="left"/>
      </w:pPr>
      <w:r>
        <w:t>Das Produkt "TitanFlex Pro" wurde im Herbst 2024 auf den deutschen Markt gebracht. Der erste dokumentierte Vertriebsakt in Deutschland datiert vom 18. Oktober 2024 (Lieferschein Bochstaedt MedSupply OHG, Anlage A-02). Das Implantat ist in zwei Größen (Schaftlänge 120 mm und 145 mm) und drei Neigungswinkeln (125°, 130°, 135°) erhältlich. Es besitzt eine CE-Zertifizierung (Zertifikat-Nr. DE/CA08/0044/2024, ausgestellt durch TÜV SÜD Product Service GmbH).</w:t>
      </w:r>
    </w:p>
    <w:p>
      <w:pPr>
        <w:jc w:val="left"/>
      </w:pPr>
      <w:r>
        <w:t>TitanOrtho besitzt nach Recherche der Mandantin kein eigenes europäisches Patent auf die relevante Schaftgeometrie. Es ist jedoch zu berücksichtigen, dass TitanOrtho möglicherweise eine Freilizenz oder einen Lizenzvertrag mit einem Dritten behaupten könnte. Diese Frage ist in der Klagebegründung vorsorglich zu adressieren.</w:t>
      </w:r>
    </w:p>
    <w:p>
      <w:pPr>
        <w:pStyle w:val="Heading3"/>
      </w:pPr>
      <w:r>
        <w:rPr>
          <w:rFonts w:ascii="Times New Roman" w:hAnsi="Times New Roman"/>
        </w:rPr>
        <w:t>2.2 Bochstaedt MedSupply OHG (Beklagte zu 2)</w:t>
      </w:r>
    </w:p>
    <w:p>
      <w:pPr>
        <w:jc w:val="left"/>
      </w:pPr>
      <w:r>
        <w:t>Bochstaedt MedSupply OHG ist ein seit 2011 in Aalen ansässiges Medizinprodukte-Handelsunternehmen mit einem Jahresumsatz von ca. 22 Mio. EUR. Die OHG importiert orthopädische Implantate aus Polen, Tschechien und — nach vorliegenden Hinweisen — auch aus China (Direktimporte, Relevanz für Grenzbeschlagnahme) und vertreibt diese an deutsche Krankenhäuser und orthopädische Chirurgen.</w:t>
      </w:r>
    </w:p>
    <w:p>
      <w:pPr>
        <w:jc w:val="left"/>
      </w:pPr>
      <w:r>
        <w:t>Bochstaedt ist Alleinimporteur der Produkte von TitanOrtho in Deutschland. Aus dem Importeursstatus ergibt sich eine eigene Haftung als Inverkehrbringer gem. § 139 Abs. 1 PatG (BGH, X ZR 60/17 — Pemetrexed II; vgl. dejure.org). Die OHG ist zugleich der Arbeitgeber des früheren Vellbruck-Ingenieurs Drostmann, was die GeschG-Problematik begründet.</w:t>
      </w:r>
    </w:p>
    <w:p>
      <w:pPr>
        <w:jc w:val="left"/>
      </w:pPr>
      <w:r>
        <w:t>Ein weiterer Aspekt: Bochstaedt hat die Nichtigkeitsklage gegen EP 3 218 922 B1 vor dem BPatG erhoben (4 Ni 18/26). Die Erhebung der Nichtigkeitsklage am 12. März 2026 steht im Zusammenhang mit der Zustellung der UPC-Klage am 04. März 2026 und ist als defensives Manöver zu werten.</w:t>
      </w:r>
    </w:p>
    <w:p/>
    <w:p>
      <w:pPr>
        <w:pStyle w:val="Heading2"/>
      </w:pPr>
      <w:r>
        <w:rPr>
          <w:rFonts w:ascii="Times New Roman" w:hAnsi="Times New Roman"/>
        </w:rPr>
        <w:t>3. Verfahrensbevollmächtigte und Kooperationspartner</w:t>
      </w:r>
    </w:p>
    <w:p>
      <w:pPr>
        <w:pStyle w:val="Heading3"/>
      </w:pPr>
      <w:r>
        <w:rPr>
          <w:rFonts w:ascii="Times New Roman" w:hAnsi="Times New Roman"/>
        </w:rPr>
        <w:t>3.1 Führende Kanzlei</w:t>
      </w:r>
    </w:p>
    <w:p>
      <w:pPr>
        <w:jc w:val="left"/>
      </w:pPr>
      <w:r>
        <w:rPr>
          <w:b/>
        </w:rPr>
        <w:t>Birkenhainer &amp; Consulting</w:t>
      </w:r>
    </w:p>
    <w:p>
      <w:pPr>
        <w:jc w:val="left"/>
      </w:pPr>
      <w:r>
        <w:t>Theatinerstraße 36, 80333 München</w:t>
      </w:r>
    </w:p>
    <w:p>
      <w:pPr>
        <w:jc w:val="left"/>
      </w:pPr>
      <w:r>
        <w:t>RA Dr. Marie-Henriette Birkenhainer (FA Gewerblicher Rechtsschutz, EPA-zugelassene Vertreterin Nr. EPA-D-12885)</w:t>
      </w:r>
    </w:p>
    <w:p>
      <w:pPr>
        <w:jc w:val="left"/>
      </w:pPr>
      <w:r>
        <w:t>RA Tobias Fehrenbach (Sachbearbeitung Patent/Marke)</w:t>
      </w:r>
    </w:p>
    <w:p>
      <w:pPr>
        <w:jc w:val="left"/>
      </w:pPr>
      <w:r>
        <w:t>RA Dr. Leonie Karstens (Koordination GeschG/UWG)</w:t>
      </w:r>
    </w:p>
    <w:p>
      <w:pPr>
        <w:jc w:val="left"/>
      </w:pPr>
      <w:r>
        <w:t>Kanzleiadresse für den UPC-Schriftwechsel: identisch mit Münchener Büro</w:t>
      </w:r>
    </w:p>
    <w:p>
      <w:pPr>
        <w:pStyle w:val="Heading3"/>
      </w:pPr>
      <w:r>
        <w:rPr>
          <w:rFonts w:ascii="Times New Roman" w:hAnsi="Times New Roman"/>
        </w:rPr>
        <w:t>3.2 UPC-Lokalkammer Düsseldorf: Rademakers IP</w:t>
      </w:r>
    </w:p>
    <w:p>
      <w:pPr>
        <w:jc w:val="left"/>
      </w:pPr>
      <w:r>
        <w:rPr>
          <w:b/>
        </w:rPr>
        <w:t>Rademakers IP Rechtsanwälte und Patentanwälte PartGmbB</w:t>
      </w:r>
    </w:p>
    <w:p>
      <w:pPr>
        <w:jc w:val="left"/>
      </w:pPr>
      <w:r>
        <w:t>Königsallee 14, 40212 Düsseldorf</w:t>
      </w:r>
    </w:p>
    <w:p>
      <w:pPr>
        <w:jc w:val="left"/>
      </w:pPr>
      <w:r>
        <w:t>Zugelassener UPC-Vertreter: RA Dr. Gerd Rademakers (Zulassung UPC-CoA-2023-DE-0044)</w:t>
      </w:r>
    </w:p>
    <w:p>
      <w:pPr>
        <w:jc w:val="left"/>
      </w:pPr>
      <w:r>
        <w:t>Koordination: Birkenhainer — Rademakers wöchentlich mittwochs per Videokonferenz</w:t>
      </w:r>
    </w:p>
    <w:p>
      <w:pPr>
        <w:jc w:val="left"/>
      </w:pPr>
      <w:r>
        <w:t>Zuständig: Klageeinreichung UPC, Terminwahrnehmung Düsseldorf, einstweilige Verfügung</w:t>
      </w:r>
    </w:p>
    <w:p>
      <w:pPr>
        <w:pStyle w:val="Heading3"/>
      </w:pPr>
      <w:r>
        <w:rPr>
          <w:rFonts w:ascii="Times New Roman" w:hAnsi="Times New Roman"/>
        </w:rPr>
        <w:t>3.3 BPatG-Verfahren: Gruhl &amp; Teichmann</w:t>
      </w:r>
    </w:p>
    <w:p>
      <w:pPr>
        <w:jc w:val="left"/>
      </w:pPr>
      <w:r>
        <w:rPr>
          <w:b/>
        </w:rPr>
        <w:t>Gruhl &amp; Teichmann Patentanwaltskanzlei</w:t>
      </w:r>
    </w:p>
    <w:p>
      <w:pPr>
        <w:jc w:val="left"/>
      </w:pPr>
      <w:r>
        <w:t>Widenmayerstraße 23, 80538 München</w:t>
      </w:r>
    </w:p>
    <w:p>
      <w:pPr>
        <w:jc w:val="left"/>
      </w:pPr>
      <w:r>
        <w:t>PatAnw. Dr. Rolf Gruhl (Techn. Gebiete: Medizintechnik, Materialwissenschaften)</w:t>
      </w:r>
    </w:p>
    <w:p>
      <w:pPr>
        <w:jc w:val="left"/>
      </w:pPr>
      <w:r>
        <w:t>Zuständig: Nichtigkeitssache 4 Ni 18/26; technische Stellungnahmen für UPC-Verfahren</w:t>
      </w:r>
    </w:p>
    <w:p>
      <w:pPr>
        <w:pStyle w:val="Heading3"/>
      </w:pPr>
      <w:r>
        <w:rPr>
          <w:rFonts w:ascii="Times New Roman" w:hAnsi="Times New Roman"/>
        </w:rPr>
        <w:t>3.4 Sachverständiger</w:t>
      </w:r>
    </w:p>
    <w:p>
      <w:pPr>
        <w:jc w:val="left"/>
      </w:pPr>
      <w:r>
        <w:rPr>
          <w:b/>
        </w:rPr>
        <w:t>Dr. habil. Peter Morbach</w:t>
      </w:r>
    </w:p>
    <w:p>
      <w:pPr>
        <w:jc w:val="left"/>
      </w:pPr>
      <w:r>
        <w:t>Lehrstuhl für Werkstoffkunde und Titanverarbeitung</w:t>
      </w:r>
    </w:p>
    <w:p>
      <w:pPr>
        <w:jc w:val="left"/>
      </w:pPr>
      <w:r>
        <w:t>Technische Universität Dortmund (i.R., Gutachtertätigkeit)</w:t>
      </w:r>
    </w:p>
    <w:p>
      <w:pPr>
        <w:jc w:val="left"/>
      </w:pPr>
      <w:r>
        <w:t>Auftrag: Technisches Gutachten zur Verletzung und Äquivalenz EP 3 218 922 B1</w:t>
      </w:r>
    </w:p>
    <w:p>
      <w:pPr>
        <w:jc w:val="left"/>
      </w:pPr>
      <w:r>
        <w:t>Frist Erstgutachten: 30. März 2026</w:t>
      </w:r>
    </w:p>
    <w:p/>
    <w:p>
      <w:pPr>
        <w:pStyle w:val="Heading2"/>
      </w:pPr>
      <w:r>
        <w:rPr>
          <w:rFonts w:ascii="Times New Roman" w:hAnsi="Times New Roman"/>
        </w:rPr>
        <w:t>4. Zuständigkeitsfragen UPC</w:t>
      </w:r>
    </w:p>
    <w:p>
      <w:pPr>
        <w:jc w:val="left"/>
      </w:pPr>
      <w:r>
        <w:t>Der UPC Düsseldorf ist gem. Art. 33 Abs. 1 lit. a UPCA als Lokale Kammer zuständig, da die Verletzungshandlungen im Wesentlichen in Deutschland stattfinden (Import, Vertrieb, Angebot an deutsche Krankenhäuser). TitanOrtho hat ihren Sitz in Polen; der UPC ist gleichwohl zuständig als Gericht des Ortes der Verletzung (Art. 33 Abs. 1 UPCA). Die Einbeziehung beider Beklagten in ein Verfahren ist gem. Art. 33 Abs. 2 UPCA möglich, da die Beklagte zu 2 ihren Sitz in Deutschland hat und beide Beklagte eng koordiniert handeln.</w:t>
      </w:r>
    </w:p>
    <w:p>
      <w:pPr>
        <w:jc w:val="left"/>
      </w:pPr>
      <w:r>
        <w:t>Sprache des Verfahrens: Deutsch (Art. 49 Abs. 2 UPCA i.V.m. Regel 14.2 UPC Rules of Procedure; Lokale Kammer Düsseldorf: Verfahrenssprache Deutsch).</w:t>
      </w:r>
    </w:p>
    <w:p/>
    <w:p>
      <w:pPr>
        <w:pStyle w:val="Heading2"/>
      </w:pPr>
      <w:r>
        <w:rPr>
          <w:rFonts w:ascii="Times New Roman" w:hAnsi="Times New Roman"/>
        </w:rPr>
        <w:t>5. Parallele nationale Verfahren</w:t>
      </w:r>
    </w:p>
    <w:p>
      <w:pPr>
        <w:jc w:val="left"/>
      </w:pPr>
      <w:r>
        <w:t>Das UPC-Klagepatent EP 3 218 922 B1 ist ein europäisches Patent mit unitarischer Wirkung (Unitary Patent). Die Mandantin hat die unitarische Wirkung nicht beantragt; das Patent wurde national validiert. Gleichwohl ist der UPC gem. dem Übergangsregime (Art. 83 Abs. 1 UPCA, Sunrise Period) für in Kraft gebliebene klassische europäische Patente nach dem 01. Juni 2023 zuständig, sofern kein Opt-out erklärt wurde. Ein Opt-out wurde vorliegend nicht erklärt; der UPC ist daher zuständig.</w:t>
      </w:r>
    </w:p>
    <w:p>
      <w:pPr>
        <w:jc w:val="left"/>
      </w:pPr>
      <w:r>
        <w:t>Die parallele Erhebung einer nationalen Verletzungsklage vor dem LG Mannheim oder LG Düsseldorf ist nach Klageerhebung beim UPC nicht mehr möglich (ne bis in idem, Art. 33 Abs. 5 UPCA). Die strategische Entscheidung für den UPC ist damit bindend.</w:t>
      </w:r>
    </w:p>
    <w:p/>
    <w:p>
      <w:pPr>
        <w:pStyle w:val="Heading2"/>
      </w:pPr>
      <w:r>
        <w:rPr>
          <w:rFonts w:ascii="Times New Roman" w:hAnsi="Times New Roman"/>
        </w:rPr>
        <w:t>6. Fristen und Wiedervorlagen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Frist/Termin</w:t>
            </w:r>
          </w:p>
        </w:tc>
        <w:tc>
          <w:tcPr>
            <w:tcW w:type="dxa" w:w="3024"/>
          </w:tcPr>
          <w:p>
            <w:r>
              <w:rPr>
                <w:rFonts w:ascii="Times New Roman" w:hAnsi="Times New Roman"/>
                <w:b/>
                <w:sz w:val="20"/>
              </w:rPr>
              <w:t>Zuständig</w:t>
            </w:r>
          </w:p>
        </w:tc>
      </w:tr>
      <w:tr>
        <w:tc>
          <w:tcPr>
            <w:tcW w:type="dxa" w:w="3024"/>
          </w:tcPr>
          <w:p>
            <w:r>
              <w:rPr>
                <w:rFonts w:ascii="Times New Roman" w:hAnsi="Times New Roman"/>
                <w:sz w:val="20"/>
              </w:rPr>
              <w:t>01.02.2026</w:t>
            </w:r>
          </w:p>
        </w:tc>
        <w:tc>
          <w:tcPr>
            <w:tcW w:type="dxa" w:w="3024"/>
          </w:tcPr>
          <w:p>
            <w:r>
              <w:rPr>
                <w:rFonts w:ascii="Times New Roman" w:hAnsi="Times New Roman"/>
                <w:sz w:val="20"/>
              </w:rPr>
              <w:t>Abmahnung Marke TitanFlex abgesandt</w:t>
            </w:r>
          </w:p>
        </w:tc>
        <w:tc>
          <w:tcPr>
            <w:tcW w:type="dxa" w:w="3024"/>
          </w:tcPr>
          <w:p>
            <w:r>
              <w:rPr>
                <w:rFonts w:ascii="Times New Roman" w:hAnsi="Times New Roman"/>
                <w:sz w:val="20"/>
              </w:rPr>
              <w:t>Dr. Birkenhainer</w:t>
            </w:r>
          </w:p>
        </w:tc>
      </w:tr>
      <w:tr>
        <w:tc>
          <w:tcPr>
            <w:tcW w:type="dxa" w:w="3024"/>
          </w:tcPr>
          <w:p>
            <w:r>
              <w:rPr>
                <w:rFonts w:ascii="Times New Roman" w:hAnsi="Times New Roman"/>
                <w:sz w:val="20"/>
              </w:rPr>
              <w:t>04.02.2026</w:t>
            </w:r>
          </w:p>
        </w:tc>
        <w:tc>
          <w:tcPr>
            <w:tcW w:type="dxa" w:w="3024"/>
          </w:tcPr>
          <w:p>
            <w:r>
              <w:rPr>
                <w:rFonts w:ascii="Times New Roman" w:hAnsi="Times New Roman"/>
                <w:sz w:val="20"/>
              </w:rPr>
              <w:t>Klageeinreichung UPC Düsseldorf</w:t>
            </w:r>
          </w:p>
        </w:tc>
        <w:tc>
          <w:tcPr>
            <w:tcW w:type="dxa" w:w="3024"/>
          </w:tcPr>
          <w:p>
            <w:r>
              <w:rPr>
                <w:rFonts w:ascii="Times New Roman" w:hAnsi="Times New Roman"/>
                <w:sz w:val="20"/>
              </w:rPr>
              <w:t>RA Rademakers</w:t>
            </w:r>
          </w:p>
        </w:tc>
      </w:tr>
      <w:tr>
        <w:tc>
          <w:tcPr>
            <w:tcW w:type="dxa" w:w="3024"/>
          </w:tcPr>
          <w:p>
            <w:r>
              <w:rPr>
                <w:rFonts w:ascii="Times New Roman" w:hAnsi="Times New Roman"/>
                <w:sz w:val="20"/>
              </w:rPr>
              <w:t>15.02.2026</w:t>
            </w:r>
          </w:p>
        </w:tc>
        <w:tc>
          <w:tcPr>
            <w:tcW w:type="dxa" w:w="3024"/>
          </w:tcPr>
          <w:p>
            <w:r>
              <w:rPr>
                <w:rFonts w:ascii="Times New Roman" w:hAnsi="Times New Roman"/>
                <w:sz w:val="20"/>
              </w:rPr>
              <w:t>Antrag Grenzbeschlagnahme Zoll</w:t>
            </w:r>
          </w:p>
        </w:tc>
        <w:tc>
          <w:tcPr>
            <w:tcW w:type="dxa" w:w="3024"/>
          </w:tcPr>
          <w:p>
            <w:r>
              <w:rPr>
                <w:rFonts w:ascii="Times New Roman" w:hAnsi="Times New Roman"/>
                <w:sz w:val="20"/>
              </w:rPr>
              <w:t>RA Fehrenbach</w:t>
            </w:r>
          </w:p>
        </w:tc>
      </w:tr>
      <w:tr>
        <w:tc>
          <w:tcPr>
            <w:tcW w:type="dxa" w:w="3024"/>
          </w:tcPr>
          <w:p>
            <w:r>
              <w:rPr>
                <w:rFonts w:ascii="Times New Roman" w:hAnsi="Times New Roman"/>
                <w:sz w:val="20"/>
              </w:rPr>
              <w:t>01.03.2026</w:t>
            </w:r>
          </w:p>
        </w:tc>
        <w:tc>
          <w:tcPr>
            <w:tcW w:type="dxa" w:w="3024"/>
          </w:tcPr>
          <w:p>
            <w:r>
              <w:rPr>
                <w:rFonts w:ascii="Times New Roman" w:hAnsi="Times New Roman"/>
                <w:sz w:val="20"/>
              </w:rPr>
              <w:t>Beauftragung Dr. Morbach (Sachverständiger)</w:t>
            </w:r>
          </w:p>
        </w:tc>
        <w:tc>
          <w:tcPr>
            <w:tcW w:type="dxa" w:w="3024"/>
          </w:tcPr>
          <w:p>
            <w:r>
              <w:rPr>
                <w:rFonts w:ascii="Times New Roman" w:hAnsi="Times New Roman"/>
                <w:sz w:val="20"/>
              </w:rPr>
              <w:t>Dr. Birkenhainer</w:t>
            </w:r>
          </w:p>
        </w:tc>
      </w:tr>
      <w:tr>
        <w:tc>
          <w:tcPr>
            <w:tcW w:type="dxa" w:w="3024"/>
          </w:tcPr>
          <w:p>
            <w:r>
              <w:rPr>
                <w:rFonts w:ascii="Times New Roman" w:hAnsi="Times New Roman"/>
                <w:sz w:val="20"/>
              </w:rPr>
              <w:t>30.03.2026</w:t>
            </w:r>
          </w:p>
        </w:tc>
        <w:tc>
          <w:tcPr>
            <w:tcW w:type="dxa" w:w="3024"/>
          </w:tcPr>
          <w:p>
            <w:r>
              <w:rPr>
                <w:rFonts w:ascii="Times New Roman" w:hAnsi="Times New Roman"/>
                <w:sz w:val="20"/>
              </w:rPr>
              <w:t>Erstgutachten Dr. Morbach erwartet</w:t>
            </w:r>
          </w:p>
        </w:tc>
        <w:tc>
          <w:tcPr>
            <w:tcW w:type="dxa" w:w="3024"/>
          </w:tcPr>
          <w:p>
            <w:r>
              <w:rPr>
                <w:rFonts w:ascii="Times New Roman" w:hAnsi="Times New Roman"/>
                <w:sz w:val="20"/>
              </w:rPr>
              <w:t>PatAnw. Gruhl</w:t>
            </w:r>
          </w:p>
        </w:tc>
      </w:tr>
      <w:tr>
        <w:tc>
          <w:tcPr>
            <w:tcW w:type="dxa" w:w="3024"/>
          </w:tcPr>
          <w:p>
            <w:r>
              <w:rPr>
                <w:rFonts w:ascii="Times New Roman" w:hAnsi="Times New Roman"/>
                <w:sz w:val="20"/>
              </w:rPr>
              <w:t>12.03.2026</w:t>
            </w:r>
          </w:p>
        </w:tc>
        <w:tc>
          <w:tcPr>
            <w:tcW w:type="dxa" w:w="3024"/>
          </w:tcPr>
          <w:p>
            <w:r>
              <w:rPr>
                <w:rFonts w:ascii="Times New Roman" w:hAnsi="Times New Roman"/>
                <w:sz w:val="20"/>
              </w:rPr>
              <w:t>Eingang Nichtigkeitsklage BPatG (Bochstaedt)</w:t>
            </w:r>
          </w:p>
        </w:tc>
        <w:tc>
          <w:tcPr>
            <w:tcW w:type="dxa" w:w="3024"/>
          </w:tcPr>
          <w:p>
            <w:r>
              <w:rPr>
                <w:rFonts w:ascii="Times New Roman" w:hAnsi="Times New Roman"/>
                <w:sz w:val="20"/>
              </w:rPr>
              <w:t>Gruhl &amp; Teichmann</w:t>
            </w:r>
          </w:p>
        </w:tc>
      </w:tr>
      <w:tr>
        <w:tc>
          <w:tcPr>
            <w:tcW w:type="dxa" w:w="3024"/>
          </w:tcPr>
          <w:p>
            <w:r>
              <w:rPr>
                <w:rFonts w:ascii="Times New Roman" w:hAnsi="Times New Roman"/>
                <w:sz w:val="20"/>
              </w:rPr>
              <w:t>30.04.2026</w:t>
            </w:r>
          </w:p>
        </w:tc>
        <w:tc>
          <w:tcPr>
            <w:tcW w:type="dxa" w:w="3024"/>
          </w:tcPr>
          <w:p>
            <w:r>
              <w:rPr>
                <w:rFonts w:ascii="Times New Roman" w:hAnsi="Times New Roman"/>
                <w:sz w:val="20"/>
              </w:rPr>
              <w:t>Klageerwiderung Nichtigkeitsklage BPatG Frist</w:t>
            </w:r>
          </w:p>
        </w:tc>
        <w:tc>
          <w:tcPr>
            <w:tcW w:type="dxa" w:w="3024"/>
          </w:tcPr>
          <w:p>
            <w:r>
              <w:rPr>
                <w:rFonts w:ascii="Times New Roman" w:hAnsi="Times New Roman"/>
                <w:sz w:val="20"/>
              </w:rPr>
              <w:t>Gruhl &amp; Teichmann</w:t>
            </w:r>
          </w:p>
        </w:tc>
      </w:tr>
    </w:tbl>
    <w:p/>
    <w:p>
      <w:pPr>
        <w:jc w:val="left"/>
      </w:pPr>
      <w:r>
        <w:rPr>
          <w:i/>
        </w:rPr>
        <w:t>Quellen: Art. 33 UPCA (EUR-Lex); § 139 PatG (dejure.org); BGH X ZR 60/17 (openjur.de); Art. 83 UPCA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