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Patentanalyse EP 3 218 922 B1: Anspruchsauslegung, Verletzungsprüfung und Äquivalenz</w:t>
      </w:r>
    </w:p>
    <w:p>
      <w:pPr>
        <w:jc w:val="left"/>
      </w:pPr>
      <w:r>
        <w:rPr>
          <w:b/>
        </w:rPr>
        <w:t>Aktenzeichen intern:</w:t>
      </w:r>
      <w:r>
        <w:t xml:space="preserve"> VM-2026-GR-001</w:t>
      </w:r>
    </w:p>
    <w:p>
      <w:pPr>
        <w:jc w:val="left"/>
      </w:pPr>
      <w:r>
        <w:rPr>
          <w:b/>
        </w:rPr>
        <w:t>Datum:</w:t>
      </w:r>
      <w:r>
        <w:t xml:space="preserve"> 03. Februar 2026</w:t>
      </w:r>
    </w:p>
    <w:p>
      <w:pPr>
        <w:jc w:val="left"/>
      </w:pPr>
      <w:r>
        <w:rPr>
          <w:b/>
        </w:rPr>
        <w:t>Bearbeiter:</w:t>
      </w:r>
      <w:r>
        <w:t xml:space="preserve"> PatAnw. Dr. Rolf Gruhl (Gruhl &amp; Teichmann) / RA Dr. Birkenhainer</w:t>
      </w:r>
    </w:p>
    <w:p>
      <w:pPr>
        <w:jc w:val="left"/>
      </w:pPr>
      <w:r>
        <w:rPr>
          <w:b/>
        </w:rPr>
        <w:t>Grundlage:</w:t>
      </w:r>
      <w:r>
        <w:t xml:space="preserve"> EP 3 218 922 B1, Erteilungsschrift (Stand Erteilung 22.03.2018), Prüfungsakte EPA; Technische Unterlagen TitanFlex Pro (Bochstaedt Produktdokumentation, Anlage A-05)</w:t>
      </w:r>
    </w:p>
    <w:p/>
    <w:p>
      <w:pPr>
        <w:pStyle w:val="Heading2"/>
      </w:pPr>
      <w:r>
        <w:rPr>
          <w:rFonts w:ascii="Times New Roman" w:hAnsi="Times New Roman"/>
        </w:rPr>
        <w:t>1. Patentgegenstand und Technischer Hintergrund</w:t>
      </w:r>
    </w:p>
    <w:p>
      <w:pPr>
        <w:jc w:val="left"/>
      </w:pPr>
      <w:r>
        <w:t>Das Patent EP 3 218 922 B1 ("Schaftimplantat für Hüftendoprothesen mit biomimetisch strukturierter poröser Titanoberfläche und lateraler Fin-Geometrie") betrifft eine neuartige Konstruktion des Femurschafts für Hüfttotalendoprothesen. Die patentgeschützte Lehre umfasst eine mehrdimensionale poröse Oberflächenstruktur aus reinem Titan (Grade 4 oder Grade 23), die durch selektives Lasersintern (SLS) erzeugt wird, kombiniert mit einer distalen Keilgeometrie und seitlich angeordneten Stützrippen ("Fins"), deren Neigungswinkel spezifisch auf die biomechanischen Belastungspfade des proximalen Femurs abgestimmt ist.</w:t>
      </w:r>
    </w:p>
    <w:p>
      <w:pPr>
        <w:jc w:val="left"/>
      </w:pPr>
      <w:r>
        <w:t>Die technische Bedeutung liegt in der verbesserten osseointegration: Die poröse Titan-Oberflächenstruktur mit einer Porosität von 65–75 % und einer mittleren Porengröße von 400–600 µm imitiert die trabekuläre Knochenstruktur und fördert das Einwachsen von Knochenzellen ohne Verwendung von Knochenzement. Der Schaft bietet damit eine zementfreie Primär- und Sekundärstabilität.</w:t>
      </w:r>
    </w:p>
    <w:p/>
    <w:p>
      <w:pPr>
        <w:pStyle w:val="Heading2"/>
      </w:pPr>
      <w:r>
        <w:rPr>
          <w:rFonts w:ascii="Times New Roman" w:hAnsi="Times New Roman"/>
        </w:rPr>
        <w:t>2. Hauptanspruch 1 — Wortlaut</w:t>
      </w:r>
    </w:p>
    <w:p>
      <w:pPr>
        <w:jc w:val="left"/>
      </w:pPr>
      <w:r>
        <w:t>Der Hauptanspruch 1 des EP 3 218 922 B1 lautet (deutsche Übersetzung nach Art. 14 Abs. 7 EPÜ, Anlage A-06):</w:t>
      </w:r>
    </w:p>
    <w:p>
      <w:pPr>
        <w:ind w:left="567"/>
      </w:pPr>
      <w:r>
        <w:rPr>
          <w:i/>
        </w:rPr>
        <w:t>Schaftimplantat für eine Hüftendoprothese, aufweisend:</w:t>
      </w:r>
    </w:p>
    <w:p>
      <w:pPr>
        <w:ind w:left="567"/>
      </w:pPr>
      <w:r>
        <w:rPr>
          <w:i/>
        </w:rPr>
        <w:t>(a) einen länglichen Schaftkörper aus einer Titanlegierung, der einen proximalen Abschnitt und einen distalen Abschnitt aufweist;</w:t>
      </w:r>
    </w:p>
    <w:p>
      <w:pPr>
        <w:ind w:left="567"/>
      </w:pPr>
      <w:r>
        <w:rPr>
          <w:i/>
        </w:rPr>
        <w:t>(b) eine an dem proximalen Abschnitt ausgebildete poröse Oberflächenstruktur, wobei die Porosität im Bereich von 65 % bis 75 % liegt;</w:t>
      </w:r>
    </w:p>
    <w:p>
      <w:pPr>
        <w:ind w:left="567"/>
      </w:pPr>
      <w:r>
        <w:rPr>
          <w:i/>
        </w:rPr>
        <w:t>(c) eine mittlere Porengröße der porösen Oberflächenstruktur im Bereich von 400 µm bis 600 µm;</w:t>
      </w:r>
    </w:p>
    <w:p>
      <w:pPr>
        <w:ind w:left="567"/>
      </w:pPr>
      <w:r>
        <w:rPr>
          <w:i/>
        </w:rPr>
        <w:t>(d) zumindest zwei seitlich angeordnete Stützrippen (Fins) im distalen Abschnitt, die jeweils einen Neigungswinkel von 8° bis 15° zur Längsachse des Schaftkörpers aufweisen;</w:t>
      </w:r>
    </w:p>
    <w:p>
      <w:pPr>
        <w:ind w:left="567"/>
      </w:pPr>
      <w:r>
        <w:rPr>
          <w:i/>
        </w:rPr>
        <w:t>(e) wobei die poröse Oberflächenstruktur durch selektives Lasersintern hergestellt ist.</w:t>
      </w:r>
    </w:p>
    <w:p>
      <w:pPr>
        <w:jc w:val="left"/>
      </w:pPr>
      <w:r>
        <w:t>Unteransprüche 2–18 konkretisieren die Legierungszusammensetzung (Anspruch 2: Ti-6Al-4V ELI), die Fin-Geometrie (Anspruch 4: drei Fins), die distale Keilform (Anspruch 6), das Herstellungsverfahren (Anspruch 9–12) sowie das Hüftgelenkssystem (Anspruch 14–18).</w:t>
      </w:r>
    </w:p>
    <w:p/>
    <w:p>
      <w:pPr>
        <w:pStyle w:val="Heading2"/>
      </w:pPr>
      <w:r>
        <w:rPr>
          <w:rFonts w:ascii="Times New Roman" w:hAnsi="Times New Roman"/>
        </w:rPr>
        <w:t>3. Verletzungsanalyse — TitanFlex Pro (wortsinngemäße Verletzung)</w:t>
      </w:r>
    </w:p>
    <w:p>
      <w:pPr>
        <w:pStyle w:val="Heading3"/>
      </w:pPr>
      <w:r>
        <w:rPr>
          <w:rFonts w:ascii="Times New Roman" w:hAnsi="Times New Roman"/>
        </w:rPr>
        <w:t>3.1 Merkmalsanalyse</w:t>
      </w:r>
    </w:p>
    <w:p>
      <w:pPr>
        <w:jc w:val="left"/>
      </w:pPr>
      <w:r>
        <w:t>Die nachfolgende Tabelle stellt die Merkmale des Hauptanspruchs 1 den technischen Daten des "TitanFlex Pro" gegenüber (Quellen: CE-Technische Dokumentation TitanFlex Pro, Anlage A-05; Röntgenanalyse Institut für Materialprüfung Dortmund, Anlage A-07).</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Merkmal</w:t>
            </w:r>
          </w:p>
        </w:tc>
        <w:tc>
          <w:tcPr>
            <w:tcW w:type="dxa" w:w="2268"/>
          </w:tcPr>
          <w:p>
            <w:r>
              <w:rPr>
                <w:rFonts w:ascii="Times New Roman" w:hAnsi="Times New Roman"/>
                <w:b/>
                <w:sz w:val="20"/>
              </w:rPr>
              <w:t>EP 3 218 922 B1 (Anspruch 1)</w:t>
            </w:r>
          </w:p>
        </w:tc>
        <w:tc>
          <w:tcPr>
            <w:tcW w:type="dxa" w:w="2268"/>
          </w:tcPr>
          <w:p>
            <w:r>
              <w:rPr>
                <w:rFonts w:ascii="Times New Roman" w:hAnsi="Times New Roman"/>
                <w:b/>
                <w:sz w:val="20"/>
              </w:rPr>
              <w:t>TitanFlex Pro (gemessen)</w:t>
            </w:r>
          </w:p>
        </w:tc>
        <w:tc>
          <w:tcPr>
            <w:tcW w:type="dxa" w:w="2268"/>
          </w:tcPr>
          <w:p>
            <w:r>
              <w:rPr>
                <w:rFonts w:ascii="Times New Roman" w:hAnsi="Times New Roman"/>
                <w:b/>
                <w:sz w:val="20"/>
              </w:rPr>
              <w:t>Verletzung?</w:t>
            </w:r>
          </w:p>
        </w:tc>
      </w:tr>
      <w:tr>
        <w:tc>
          <w:tcPr>
            <w:tcW w:type="dxa" w:w="2268"/>
          </w:tcPr>
          <w:p>
            <w:r>
              <w:rPr>
                <w:rFonts w:ascii="Times New Roman" w:hAnsi="Times New Roman"/>
                <w:sz w:val="20"/>
              </w:rPr>
              <w:t>(a) Schaftkörper Titanlegierung, proximal/distal</w:t>
            </w:r>
          </w:p>
        </w:tc>
        <w:tc>
          <w:tcPr>
            <w:tcW w:type="dxa" w:w="2268"/>
          </w:tcPr>
          <w:p>
            <w:r>
              <w:rPr>
                <w:rFonts w:ascii="Times New Roman" w:hAnsi="Times New Roman"/>
                <w:sz w:val="20"/>
              </w:rPr>
              <w:t>Titanlegierung, länglicher Schaft, proximal + distal</w:t>
            </w:r>
          </w:p>
        </w:tc>
        <w:tc>
          <w:tcPr>
            <w:tcW w:type="dxa" w:w="2268"/>
          </w:tcPr>
          <w:p>
            <w:r>
              <w:rPr>
                <w:rFonts w:ascii="Times New Roman" w:hAnsi="Times New Roman"/>
                <w:sz w:val="20"/>
              </w:rPr>
              <w:t>Ti-6Al-4V ELI, Schaftlängen 120/145 mm</w:t>
            </w:r>
          </w:p>
        </w:tc>
        <w:tc>
          <w:tcPr>
            <w:tcW w:type="dxa" w:w="2268"/>
          </w:tcPr>
          <w:p>
            <w:r>
              <w:rPr>
                <w:rFonts w:ascii="Times New Roman" w:hAnsi="Times New Roman"/>
                <w:b/>
                <w:sz w:val="20"/>
              </w:rPr>
              <w:t>Ja</w:t>
            </w:r>
          </w:p>
        </w:tc>
      </w:tr>
      <w:tr>
        <w:tc>
          <w:tcPr>
            <w:tcW w:type="dxa" w:w="2268"/>
          </w:tcPr>
          <w:p>
            <w:r>
              <w:rPr>
                <w:rFonts w:ascii="Times New Roman" w:hAnsi="Times New Roman"/>
                <w:sz w:val="20"/>
              </w:rPr>
              <w:t>(b) Poröse Oberfläche proximal, Porosität 65–75 %</w:t>
            </w:r>
          </w:p>
        </w:tc>
        <w:tc>
          <w:tcPr>
            <w:tcW w:type="dxa" w:w="2268"/>
          </w:tcPr>
          <w:p>
            <w:r>
              <w:rPr>
                <w:rFonts w:ascii="Times New Roman" w:hAnsi="Times New Roman"/>
                <w:sz w:val="20"/>
              </w:rPr>
              <w:t>Porosität 65–75 %</w:t>
            </w:r>
          </w:p>
        </w:tc>
        <w:tc>
          <w:tcPr>
            <w:tcW w:type="dxa" w:w="2268"/>
          </w:tcPr>
          <w:p>
            <w:r>
              <w:rPr>
                <w:rFonts w:ascii="Times New Roman" w:hAnsi="Times New Roman"/>
                <w:sz w:val="20"/>
              </w:rPr>
              <w:t>Gemessene Porosität 68–72 % (Bildanalyse µ-CT)</w:t>
            </w:r>
          </w:p>
        </w:tc>
        <w:tc>
          <w:tcPr>
            <w:tcW w:type="dxa" w:w="2268"/>
          </w:tcPr>
          <w:p>
            <w:r>
              <w:rPr>
                <w:rFonts w:ascii="Times New Roman" w:hAnsi="Times New Roman"/>
                <w:b/>
                <w:sz w:val="20"/>
              </w:rPr>
              <w:t>Ja</w:t>
            </w:r>
          </w:p>
        </w:tc>
      </w:tr>
      <w:tr>
        <w:tc>
          <w:tcPr>
            <w:tcW w:type="dxa" w:w="2268"/>
          </w:tcPr>
          <w:p>
            <w:r>
              <w:rPr>
                <w:rFonts w:ascii="Times New Roman" w:hAnsi="Times New Roman"/>
                <w:sz w:val="20"/>
              </w:rPr>
              <w:t>(c) Mittlere Porengröße 400–600 µm</w:t>
            </w:r>
          </w:p>
        </w:tc>
        <w:tc>
          <w:tcPr>
            <w:tcW w:type="dxa" w:w="2268"/>
          </w:tcPr>
          <w:p>
            <w:r>
              <w:rPr>
                <w:rFonts w:ascii="Times New Roman" w:hAnsi="Times New Roman"/>
                <w:sz w:val="20"/>
              </w:rPr>
              <w:t>400–600 µm</w:t>
            </w:r>
          </w:p>
        </w:tc>
        <w:tc>
          <w:tcPr>
            <w:tcW w:type="dxa" w:w="2268"/>
          </w:tcPr>
          <w:p>
            <w:r>
              <w:rPr>
                <w:rFonts w:ascii="Times New Roman" w:hAnsi="Times New Roman"/>
                <w:sz w:val="20"/>
              </w:rPr>
              <w:t>Mittlere Porengröße 485 µm</w:t>
            </w:r>
          </w:p>
        </w:tc>
        <w:tc>
          <w:tcPr>
            <w:tcW w:type="dxa" w:w="2268"/>
          </w:tcPr>
          <w:p>
            <w:r>
              <w:rPr>
                <w:rFonts w:ascii="Times New Roman" w:hAnsi="Times New Roman"/>
                <w:b/>
                <w:sz w:val="20"/>
              </w:rPr>
              <w:t>Ja</w:t>
            </w:r>
          </w:p>
        </w:tc>
      </w:tr>
      <w:tr>
        <w:tc>
          <w:tcPr>
            <w:tcW w:type="dxa" w:w="2268"/>
          </w:tcPr>
          <w:p>
            <w:r>
              <w:rPr>
                <w:rFonts w:ascii="Times New Roman" w:hAnsi="Times New Roman"/>
                <w:sz w:val="20"/>
              </w:rPr>
              <w:t>(d) ≥ 2 Fins distal, Neigungswinkel 8°–15°</w:t>
            </w:r>
          </w:p>
        </w:tc>
        <w:tc>
          <w:tcPr>
            <w:tcW w:type="dxa" w:w="2268"/>
          </w:tcPr>
          <w:p>
            <w:r>
              <w:rPr>
                <w:rFonts w:ascii="Times New Roman" w:hAnsi="Times New Roman"/>
                <w:sz w:val="20"/>
              </w:rPr>
              <w:t>8°–15° zur Längsachse</w:t>
            </w:r>
          </w:p>
        </w:tc>
        <w:tc>
          <w:tcPr>
            <w:tcW w:type="dxa" w:w="2268"/>
          </w:tcPr>
          <w:p>
            <w:r>
              <w:rPr>
                <w:rFonts w:ascii="Times New Roman" w:hAnsi="Times New Roman"/>
                <w:sz w:val="20"/>
              </w:rPr>
              <w:t>3 Fins, Neigungswinkel 10,5° (gemessen)</w:t>
            </w:r>
          </w:p>
        </w:tc>
        <w:tc>
          <w:tcPr>
            <w:tcW w:type="dxa" w:w="2268"/>
          </w:tcPr>
          <w:p>
            <w:r>
              <w:rPr>
                <w:rFonts w:ascii="Times New Roman" w:hAnsi="Times New Roman"/>
                <w:b/>
                <w:sz w:val="20"/>
              </w:rPr>
              <w:t>Ja</w:t>
            </w:r>
          </w:p>
        </w:tc>
      </w:tr>
      <w:tr>
        <w:tc>
          <w:tcPr>
            <w:tcW w:type="dxa" w:w="2268"/>
          </w:tcPr>
          <w:p>
            <w:r>
              <w:rPr>
                <w:rFonts w:ascii="Times New Roman" w:hAnsi="Times New Roman"/>
                <w:sz w:val="20"/>
              </w:rPr>
              <w:t>(e) Herstellung durch SLS</w:t>
            </w:r>
          </w:p>
        </w:tc>
        <w:tc>
          <w:tcPr>
            <w:tcW w:type="dxa" w:w="2268"/>
          </w:tcPr>
          <w:p>
            <w:r>
              <w:rPr>
                <w:rFonts w:ascii="Times New Roman" w:hAnsi="Times New Roman"/>
                <w:sz w:val="20"/>
              </w:rPr>
              <w:t>Selektives Lasersintern</w:t>
            </w:r>
          </w:p>
        </w:tc>
        <w:tc>
          <w:tcPr>
            <w:tcW w:type="dxa" w:w="2268"/>
          </w:tcPr>
          <w:p>
            <w:r>
              <w:rPr>
                <w:rFonts w:ascii="Times New Roman" w:hAnsi="Times New Roman"/>
                <w:sz w:val="20"/>
              </w:rPr>
              <w:t>SLS-Verfahren (Herstellerangabe, CE-Doku)</w:t>
            </w:r>
          </w:p>
        </w:tc>
        <w:tc>
          <w:tcPr>
            <w:tcW w:type="dxa" w:w="2268"/>
          </w:tcPr>
          <w:p>
            <w:r>
              <w:rPr>
                <w:rFonts w:ascii="Times New Roman" w:hAnsi="Times New Roman"/>
                <w:b/>
                <w:sz w:val="20"/>
              </w:rPr>
              <w:t>Ja</w:t>
            </w:r>
          </w:p>
        </w:tc>
      </w:tr>
    </w:tbl>
    <w:p>
      <w:pPr>
        <w:jc w:val="left"/>
      </w:pPr>
      <w:r>
        <w:rPr>
          <w:b/>
        </w:rPr>
        <w:t>Ergebnis:</w:t>
      </w:r>
      <w:r>
        <w:t xml:space="preserve"> Alle fünf Merkmale des Anspruchs 1 sind wortsinngemäß verwirklicht. TitanFlex Pro verletzt EP 3 218 922 B1 dem Wortlaut nach.</w:t>
      </w:r>
    </w:p>
    <w:p>
      <w:pPr>
        <w:pStyle w:val="Heading3"/>
      </w:pPr>
      <w:r>
        <w:rPr>
          <w:rFonts w:ascii="Times New Roman" w:hAnsi="Times New Roman"/>
        </w:rPr>
        <w:t>3.2 Rechtliche Grundlage</w:t>
      </w:r>
    </w:p>
    <w:p>
      <w:pPr>
        <w:jc w:val="left"/>
      </w:pPr>
      <w:r>
        <w:t>Die Verletzung ergibt sich aus § 9 Satz 2 Nr. 1 PatG (dejure.org): Einem Dritten ist es ohne Zustimmung des Patentinhabers verboten, ein Erzeugnis herzustellen, anzubieten, in den Verkehr zu bringen, zu gebrauchen oder zu den genannten Zwecken einzuführen oder zu besitzen, das Gegenstand des Patents ist. TitanOrtho stellt das Erzeugnis her; Bochstaedt bietet es an und bringt es in den Verkehr.</w:t>
      </w:r>
    </w:p>
    <w:p/>
    <w:p>
      <w:pPr>
        <w:pStyle w:val="Heading2"/>
      </w:pPr>
      <w:r>
        <w:rPr>
          <w:rFonts w:ascii="Times New Roman" w:hAnsi="Times New Roman"/>
        </w:rPr>
        <w:t>4. Äquivalenzanalyse (vorsorglich)</w:t>
      </w:r>
    </w:p>
    <w:p>
      <w:pPr>
        <w:jc w:val="left"/>
      </w:pPr>
      <w:r>
        <w:t>Falls die Beklagten bestreiten, dass ein oder mehrere Merkmale wortsinngemäß vorliegen (insbesondere Merkmal c, Porengröße, falls Gegenmessungen abweichen), greift hilfsweise der Äquivalenzschutz gem. § 14 PatG i.V.m. Art. 69 EPÜ und dem Protokoll zur Auslegung des Art. 69 EPÜ.</w:t>
      </w:r>
    </w:p>
    <w:p>
      <w:pPr>
        <w:pStyle w:val="Heading3"/>
      </w:pPr>
      <w:r>
        <w:rPr>
          <w:rFonts w:ascii="Times New Roman" w:hAnsi="Times New Roman"/>
        </w:rPr>
        <w:t>4.1 Äquivalenzkriterien (BGH-Rechtsprechung)</w:t>
      </w:r>
    </w:p>
    <w:p>
      <w:pPr>
        <w:jc w:val="left"/>
      </w:pPr>
      <w:r>
        <w:t>Nach der ständigen Rechtsprechung des BGH (X ZR 16/09 — Okklusionsvorrichtung; X ZR 60/17 — Pemetrexed II; openjur.de) liegt eine äquivalente Verletzung vor, wenn:</w:t>
      </w:r>
    </w:p>
    <w:p>
      <w:pPr>
        <w:pStyle w:val="ListNumber"/>
      </w:pPr>
      <w:r>
        <w:rPr>
          <w:b/>
        </w:rPr>
        <w:t>Gleichwirkung:</w:t>
      </w:r>
      <w:r>
        <w:t xml:space="preserve"> Das abgewandelte Merkmal löst die der Erfindung zugrunde liegende Aufgabe mit objektiv gleichwertigen Mitteln;</w:t>
      </w:r>
    </w:p>
    <w:p>
      <w:pPr>
        <w:pStyle w:val="ListNumber"/>
      </w:pPr>
      <w:r>
        <w:rPr>
          <w:b/>
        </w:rPr>
        <w:t>Naheliegen:</w:t>
      </w:r>
      <w:r>
        <w:t xml:space="preserve"> Die abgewandelte Lösung für den Fachmann am Prioritätstag als gleichwertig auffindbar war;</w:t>
      </w:r>
    </w:p>
    <w:p>
      <w:pPr>
        <w:pStyle w:val="ListNumber"/>
      </w:pPr>
      <w:r>
        <w:rPr>
          <w:b/>
        </w:rPr>
        <w:t>Orientierung am Patent:</w:t>
      </w:r>
      <w:r>
        <w:t xml:space="preserve"> Der Fachmann die abgewandelte Lösung als gleichwertig in Betracht gezogen hätte (Sinngehalt des Anspruchs).</w:t>
      </w:r>
    </w:p>
    <w:p>
      <w:pPr>
        <w:pStyle w:val="Heading3"/>
      </w:pPr>
      <w:r>
        <w:rPr>
          <w:rFonts w:ascii="Times New Roman" w:hAnsi="Times New Roman"/>
        </w:rPr>
        <w:t>4.2 Anwendung auf Merkmal (c) — Porengröße</w:t>
      </w:r>
    </w:p>
    <w:p>
      <w:pPr>
        <w:jc w:val="left"/>
      </w:pPr>
      <w:r>
        <w:t>Sollte die Beklagte eine Porengröße von z.B. 620 µm behaupten (knapp außerhalb der Anspruchsgrenze), wäre wie folgt zu argumentieren:</w:t>
      </w:r>
    </w:p>
    <w:p>
      <w:pPr>
        <w:pStyle w:val="ListBullet"/>
      </w:pPr>
      <w:r>
        <w:rPr>
          <w:b/>
        </w:rPr>
        <w:t>Gleichwirkung:</w:t>
      </w:r>
      <w:r>
        <w:t xml:space="preserve"> Eine Porengröße von 600–650 µm erzielt dieselbe osseointegrative Wirkung wie 400–600 µm, wie aus der Fachliteratur (Karageorgiou/Kaplan, Biomaterials 2005) belegt. Die Porosität von 68–72 % bleibt unberührt.</w:t>
      </w:r>
    </w:p>
    <w:p>
      <w:pPr>
        <w:pStyle w:val="ListBullet"/>
      </w:pPr>
      <w:r>
        <w:rPr>
          <w:b/>
        </w:rPr>
        <w:t>Naheliegen:</w:t>
      </w:r>
      <w:r>
        <w:t xml:space="preserve"> Der Grenzwert 600 µm ist durch die Erteilungsakte nicht als absolut, sondern als bevorzugte Ausführungsform belegt (vgl. Beschreibung Abs. [0044]: "vorzugsweise 400–600 µm").</w:t>
      </w:r>
    </w:p>
    <w:p>
      <w:pPr>
        <w:pStyle w:val="ListBullet"/>
      </w:pPr>
      <w:r>
        <w:rPr>
          <w:b/>
        </w:rPr>
        <w:t>Orientierung am Patent:</w:t>
      </w:r>
      <w:r>
        <w:t xml:space="preserve"> Ein Fachmann auf dem Gebiet der Implantatwerkstoffe würde die Gleichwertigkeit unmittelbar erkennen.</w:t>
      </w:r>
    </w:p>
    <w:p>
      <w:pPr>
        <w:jc w:val="left"/>
      </w:pPr>
      <w:r>
        <w:rPr>
          <w:b/>
        </w:rPr>
        <w:t>Ergebnis Äquivalenz:</w:t>
      </w:r>
      <w:r>
        <w:t xml:space="preserve"> Auch bei einer Porengröße bis ca. 700 µm wäre äquivalente Verletzung gegeben, sofern Gleichwirkung und Naheliegen belegt sind.</w:t>
      </w:r>
    </w:p>
    <w:p/>
    <w:p>
      <w:pPr>
        <w:pStyle w:val="Heading2"/>
      </w:pPr>
      <w:r>
        <w:rPr>
          <w:rFonts w:ascii="Times New Roman" w:hAnsi="Times New Roman"/>
        </w:rPr>
        <w:t>5. Einwand des Formstands — Art. 2 EPÜ-Protokoll</w:t>
      </w:r>
    </w:p>
    <w:p>
      <w:pPr>
        <w:jc w:val="left"/>
      </w:pPr>
      <w:r>
        <w:t>Die Beklagten könnten einwenden, dass der Fachmann am Prioritätstag (Anmeldung 2016) eine Porengröße von &gt;600 µm nicht als schutzwürdig ansehen würde und der Patentinhaber diese Variante durch enge Anspruchsfassung bewusst ausgeschlossen habe (file history estoppel). Gegenwehr: Die Beschreibung des EP 3 218 922 B1 (Abs. [0044]–[0048]) zeigt, dass die Anspruchsgrenze durch Prüferanforderungen entstanden ist, nicht durch freiwilligen Disclaimer des Patentinhabers. File history estoppel greift damit nicht.</w:t>
      </w:r>
    </w:p>
    <w:p/>
    <w:p>
      <w:pPr>
        <w:pStyle w:val="Heading2"/>
      </w:pPr>
      <w:r>
        <w:rPr>
          <w:rFonts w:ascii="Times New Roman" w:hAnsi="Times New Roman"/>
        </w:rPr>
        <w:t>6. Schutzbereichsbegrenzer — Stand der Technik</w:t>
      </w:r>
    </w:p>
    <w:p>
      <w:pPr>
        <w:jc w:val="left"/>
      </w:pPr>
      <w:r>
        <w:t>Als relevanter Stand der Technik ist zu berücksichtigen:</w:t>
      </w:r>
    </w:p>
    <w:p>
      <w:pPr>
        <w:pStyle w:val="ListBullet"/>
      </w:pPr>
      <w:r>
        <w:t>EP 2 478 876 A1 (Zimmer, veröffentlicht 2012): poröser Titanschaft, aber ohne distale Fin-Geometrie in spezifischer Winkelbeschränkung.</w:t>
      </w:r>
    </w:p>
    <w:p>
      <w:pPr>
        <w:pStyle w:val="ListBullet"/>
      </w:pPr>
      <w:r>
        <w:t>US 8,888,829 B2 (Biomet, 2014): SLS-Implantat, aber Porosität nur 50–60 %, keine Fin-Kombination.</w:t>
      </w:r>
    </w:p>
    <w:p>
      <w:pPr>
        <w:jc w:val="left"/>
      </w:pPr>
      <w:r>
        <w:t>Keiner der Dokumente gibt die Kombination aus (b)+(c)+(d) vor. Der Schutzbereich des EP 3 218 922 B1 ist gegenüber dem Stand der Technik klar abgegrenzt.</w:t>
      </w:r>
    </w:p>
    <w:p/>
    <w:p>
      <w:pPr>
        <w:pStyle w:val="Heading2"/>
      </w:pPr>
      <w:r>
        <w:rPr>
          <w:rFonts w:ascii="Times New Roman" w:hAnsi="Times New Roman"/>
        </w:rPr>
        <w:t>7. Zusammenfassung</w:t>
      </w:r>
    </w:p>
    <w:p>
      <w:pPr>
        <w:jc w:val="left"/>
      </w:pPr>
      <w:r>
        <w:t>Eine wortsinngemäße Verletzung des EP 3 218 922 B1 durch das Produkt TitanFlex Pro ist auf der Grundlage der vorliegenden technischen Analyse in allen fünf Merkmalen des Hauptanspruchs 1 nachgewiesen. Die Äquivalenzanalyse stärkt die Position der Mandantin zusätzlich. Das Gutachten Dr. Morbach (fällig 30.03.2026) wird diese Ergebnisse bestätigen und quantifizieren.</w:t>
      </w:r>
    </w:p>
    <w:p/>
    <w:p>
      <w:pPr>
        <w:jc w:val="left"/>
      </w:pPr>
      <w:r>
        <w:rPr>
          <w:i/>
        </w:rPr>
        <w:t>Quellen: § 9 PatG (dejure.org); § 14 PatG (dejure.org); Art. 69 EPÜ; Art. 2 EPÜ-Protokoll; BGH X ZR 60/17 (openjur.de); BGH X ZR 16/09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