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Markenrechtliche Verletzung "TitanFlex" und UWG-Ansprüche</w:t>
      </w:r>
    </w:p>
    <w:p>
      <w:pPr>
        <w:jc w:val="left"/>
      </w:pPr>
      <w:r>
        <w:rPr>
          <w:b/>
        </w:rPr>
        <w:t>Aktenzeichen intern:</w:t>
      </w:r>
      <w:r>
        <w:t xml:space="preserve"> VM-2026-GR-001</w:t>
      </w:r>
    </w:p>
    <w:p>
      <w:pPr>
        <w:jc w:val="left"/>
      </w:pPr>
      <w:r>
        <w:rPr>
          <w:b/>
        </w:rPr>
        <w:t>Datum:</w:t>
      </w:r>
      <w:r>
        <w:t xml:space="preserve"> 05. Februar 2026</w:t>
      </w:r>
    </w:p>
    <w:p>
      <w:pPr>
        <w:jc w:val="left"/>
      </w:pPr>
      <w:r>
        <w:rPr>
          <w:b/>
        </w:rPr>
        <w:t>Bearbeiter:</w:t>
      </w:r>
      <w:r>
        <w:t xml:space="preserve"> RA Dr. Marie-Henriette Birkenhainer / RA Dr. Leonie Karstens</w:t>
      </w:r>
    </w:p>
    <w:p/>
    <w:p>
      <w:pPr>
        <w:pStyle w:val="Heading2"/>
      </w:pPr>
      <w:r>
        <w:rPr>
          <w:rFonts w:ascii="Times New Roman" w:hAnsi="Times New Roman"/>
        </w:rPr>
        <w:t>1. Sachverhalt: Marke "TITANFLEX"</w:t>
      </w:r>
    </w:p>
    <w:p>
      <w:pPr>
        <w:jc w:val="left"/>
      </w:pPr>
      <w:r>
        <w:t xml:space="preserve">Die Vellbruck Medizintechnik GmbH ist Inhaberin der Unionsmarke (UM) </w:t>
      </w:r>
      <w:r>
        <w:rPr>
          <w:b/>
        </w:rPr>
        <w:t>018-882-188 "TITANFLEX"</w:t>
      </w:r>
      <w:r>
        <w:t>, eingetragen beim EUIPO mit Wirkung für alle EU-Mitgliedstaaten, Klasse 10 (Medizinische Geräte und Instrumente, insbesondere orthopädische Implantate). Die Marke wurde am 12. Juli 2019 eingetragen und ist seither in Deutschland, der EU und internationalen Partnermärkten bekannt.</w:t>
      </w:r>
    </w:p>
    <w:p>
      <w:pPr>
        <w:jc w:val="left"/>
      </w:pPr>
      <w:r>
        <w:t>Die Vellbruck GmbH verwendet die Bezeichnung "TITANFLEX" für ihre gesamte Implantat-Produktlinie (Hüft-, Knie- und Schulterprodukte) und hat erhebliche Marketingaufwendungen in den Aufbau dieser Marke investiert. Im Zeitraum 2020–2025 wurden ca. 3,8 Mio. EUR in Werbung, Messeauftritte (u.a. Medica Düsseldorf, Orthopaedic World Congress) und Fachpublikationen unter der Marke "TITANFLEX" aufgewendet.</w:t>
      </w:r>
    </w:p>
    <w:p/>
    <w:p>
      <w:pPr>
        <w:pStyle w:val="Heading2"/>
      </w:pPr>
      <w:r>
        <w:rPr>
          <w:rFonts w:ascii="Times New Roman" w:hAnsi="Times New Roman"/>
        </w:rPr>
        <w:t>2. Verletzungshandlungen durch die Beklagten</w:t>
      </w:r>
    </w:p>
    <w:p>
      <w:pPr>
        <w:jc w:val="left"/>
      </w:pPr>
      <w:r>
        <w:t xml:space="preserve">Die TitanOrtho Sp. z o.o. vertreibt ihr Konkurrenzprodukt unter der Bezeichnung </w:t>
      </w:r>
      <w:r>
        <w:rPr>
          <w:b/>
        </w:rPr>
        <w:t>"TitanFlex Pro"</w:t>
      </w:r>
      <w:r>
        <w:t>. Die Beklagte zu 2, Bochstaedt MedSupply OHG, bewirbt und vertreibt dieses Produkt in Deutschland unter derselben Bezeichnung, u.a.:</w:t>
      </w:r>
    </w:p>
    <w:p>
      <w:pPr>
        <w:pStyle w:val="ListBullet"/>
      </w:pPr>
      <w:r>
        <w:t>Produktkatalog Bochstaedt 2024/2025, Seite 44–46: "TitanFlex Pro — Hüftschaft der nächsten Generation"</w:t>
      </w:r>
    </w:p>
    <w:p>
      <w:pPr>
        <w:pStyle w:val="ListBullet"/>
      </w:pPr>
      <w:r>
        <w:t>Webseite bochstaedt-medsupply.de (Screenshot vom 28.01.2026, Anlage A-08): Produktname "TitanFlex Pro" prominent in Überschrift</w:t>
      </w:r>
    </w:p>
    <w:p>
      <w:pPr>
        <w:pStyle w:val="ListBullet"/>
      </w:pPr>
      <w:r>
        <w:t>Messe-Flyer Medizinprodukte-Forum Stuttgart, November 2024: "TitanFlex Pro von TitanOrtho — jetzt bei Bochstaedt erhältlich"</w:t>
      </w:r>
    </w:p>
    <w:p>
      <w:pPr>
        <w:pStyle w:val="ListBullet"/>
      </w:pPr>
      <w:r>
        <w:t>Angebote an Kliniken unter der Bezeichnung "TitanFlex Pro" (Angebotsschreiben Bochstaedt an Universitätsklinikum Heidelberg, 15.01.2026, Anlage A-09)</w:t>
      </w:r>
    </w:p>
    <w:p/>
    <w:p>
      <w:pPr>
        <w:pStyle w:val="Heading2"/>
      </w:pPr>
      <w:r>
        <w:rPr>
          <w:rFonts w:ascii="Times New Roman" w:hAnsi="Times New Roman"/>
        </w:rPr>
        <w:t>3. Rechtliche Prüfung</w:t>
      </w:r>
    </w:p>
    <w:p>
      <w:pPr>
        <w:pStyle w:val="Heading3"/>
      </w:pPr>
      <w:r>
        <w:rPr>
          <w:rFonts w:ascii="Times New Roman" w:hAnsi="Times New Roman"/>
        </w:rPr>
        <w:t>3.1 Verwechslungsgefahr nach Art. 9 Abs. 2 lit. b UMV / § 14 Abs. 2 Nr. 2 MarkenG</w:t>
      </w:r>
    </w:p>
    <w:p>
      <w:pPr>
        <w:jc w:val="left"/>
      </w:pPr>
      <w:r>
        <w:rPr>
          <w:b/>
        </w:rPr>
        <w:t>Zeichenidentität/-ähnlichkeit:</w:t>
      </w:r>
      <w:r>
        <w:t xml:space="preserve"> Die kollidierenden Zeichen sind:</w:t>
      </w:r>
    </w:p>
    <w:p>
      <w:pPr>
        <w:pStyle w:val="ListBullet"/>
      </w:pPr>
      <w:r>
        <w:t xml:space="preserve">Klagemarke: </w:t>
      </w:r>
      <w:r>
        <w:rPr>
          <w:b/>
        </w:rPr>
        <w:t>TITANFLEX</w:t>
      </w:r>
      <w:r>
        <w:t xml:space="preserve"> (Wortmarke, reine Wortmarke ohne graphische Elemente)</w:t>
      </w:r>
    </w:p>
    <w:p>
      <w:pPr>
        <w:pStyle w:val="ListBullet"/>
      </w:pPr>
      <w:r>
        <w:t xml:space="preserve">Verletzungszeichen: </w:t>
      </w:r>
      <w:r>
        <w:rPr>
          <w:b/>
        </w:rPr>
        <w:t>TitanFlex Pro</w:t>
      </w:r>
      <w:r>
        <w:t xml:space="preserve"> (Bezeichnung mit nachgestelltem beschreibenden Zusatz "Pro")</w:t>
      </w:r>
    </w:p>
    <w:p>
      <w:pPr>
        <w:jc w:val="left"/>
      </w:pPr>
      <w:r>
        <w:t>Klanglich, schriftbildlich und begrifflich sind "TITANFLEX" und "TitanFlex" nahezu identisch. Das Element "Pro" ist als rein beschreibendes Qualitätssuffix schutzunfähig (vgl. EuGH C-120/04 — Medion, GRUR 2005, 1042: Suffixe, die das dominierende Element nicht verändern, begründen Verwechslungsgefahr, dejure.org).</w:t>
      </w:r>
    </w:p>
    <w:p>
      <w:pPr>
        <w:jc w:val="left"/>
      </w:pPr>
      <w:r>
        <w:rPr>
          <w:b/>
        </w:rPr>
        <w:t>Warenidentität:</w:t>
      </w:r>
      <w:r>
        <w:t xml:space="preserve"> Beide Parteien vertreiben Hüftimplantate, die zur Klasse 10 (orthopädische Implantate) gehören. Warenidentität ist gegeben.</w:t>
      </w:r>
    </w:p>
    <w:p>
      <w:pPr>
        <w:jc w:val="left"/>
      </w:pPr>
      <w:r>
        <w:rPr>
          <w:b/>
        </w:rPr>
        <w:t>Kennzeichnungskraft:</w:t>
      </w:r>
      <w:r>
        <w:t xml:space="preserve"> "TITANFLEX" ist eine mittelstarke Marke mit originärer Unterscheidungskraft. "Titan" ist zwar beschreibend für das Material, aber die Kombination "TITANFLEX" als Gesamtbegriff ist in der Medizinprodukte-Branche keine Gattungsbezeichnung (vgl. BGH I ZR 70/04 — Stellenanzeigen.de, openjur.de). Durch intensive Benutzung (2019–2025) ist eine gestärkte Kennzeichnungskraft belegt.</w:t>
      </w:r>
    </w:p>
    <w:p>
      <w:pPr>
        <w:jc w:val="left"/>
      </w:pPr>
      <w:r>
        <w:rPr>
          <w:b/>
        </w:rPr>
        <w:t>Gesamtergebnis:</w:t>
      </w:r>
      <w:r>
        <w:t xml:space="preserve"> Verwechslungsgefahr i.S.d. Art. 9 Abs. 2 lit. b UMV ist zu bejahen. Verletzung gem. § 14 Abs. 2 Nr. 2 MarkenG liegt vor.</w:t>
      </w:r>
    </w:p>
    <w:p>
      <w:pPr>
        <w:pStyle w:val="Heading3"/>
      </w:pPr>
      <w:r>
        <w:rPr>
          <w:rFonts w:ascii="Times New Roman" w:hAnsi="Times New Roman"/>
        </w:rPr>
        <w:t>3.2 Bekanntheit (Art. 9 Abs. 2 lit. c UMV / § 14 Abs. 2 Nr. 3 MarkenG)</w:t>
      </w:r>
    </w:p>
    <w:p>
      <w:pPr>
        <w:jc w:val="left"/>
      </w:pPr>
      <w:r>
        <w:t>Hilfsweise: Sollte Verwechslungsgefahr verneint werden (was hier nicht zu erwarten ist), greift der Schutz wegen Rufausnutzung einer bekannten Marke. "TITANFLEX" ist in Fachkreisen (Orthopädie-Chirurgen, Krankenhauseinkaufsabteilungen, Medizinprodukte-Händler) als Marke der Vellbruck GmbH bekannt. Die Verwendung von "TitanFlex Pro" nutzt den guten Ruf aus und versucht, sich als vergleichbare/bessere Alternative zu positionieren ("Pro"-Suffix suggeriert Weiterentwicklung des Originals).</w:t>
      </w:r>
    </w:p>
    <w:p>
      <w:pPr>
        <w:pStyle w:val="Heading3"/>
      </w:pPr>
      <w:r>
        <w:rPr>
          <w:rFonts w:ascii="Times New Roman" w:hAnsi="Times New Roman"/>
        </w:rPr>
        <w:t>3.3 Ansprüche aus §§ 14, 15 MarkenG</w:t>
      </w:r>
    </w:p>
    <w:p>
      <w:pPr>
        <w:pStyle w:val="ListBullet"/>
      </w:pPr>
      <w:r>
        <w:rPr>
          <w:b/>
        </w:rPr>
        <w:t>Unterlassung:</w:t>
      </w:r>
      <w:r>
        <w:t xml:space="preserve"> § 14 Abs. 5 MarkenG (dejure.org)</w:t>
      </w:r>
    </w:p>
    <w:p>
      <w:pPr>
        <w:pStyle w:val="ListBullet"/>
      </w:pPr>
      <w:r>
        <w:rPr>
          <w:b/>
        </w:rPr>
        <w:t>Auskunft und Rechnungslegung:</w:t>
      </w:r>
      <w:r>
        <w:t xml:space="preserve"> § 19 MarkenG i.V.m. § 242 BGB</w:t>
      </w:r>
    </w:p>
    <w:p>
      <w:pPr>
        <w:pStyle w:val="ListBullet"/>
      </w:pPr>
      <w:r>
        <w:rPr>
          <w:b/>
        </w:rPr>
        <w:t>Schadensersatz:</w:t>
      </w:r>
      <w:r>
        <w:t xml:space="preserve"> § 14 Abs. 6 MarkenG (dejure.org); Berechnung wahlweise nach entgangenem Gewinn, Lizenzanalogie oder Verletzergewinnabschöpfung (BGH I ZR 169/04 — Kettensäge, openjur.de)</w:t>
      </w:r>
    </w:p>
    <w:p>
      <w:pPr>
        <w:pStyle w:val="ListBullet"/>
      </w:pPr>
      <w:r>
        <w:rPr>
          <w:b/>
        </w:rPr>
        <w:t>Vernichtung:</w:t>
      </w:r>
      <w:r>
        <w:t xml:space="preserve"> § 18 MarkenG (dejure.org)</w:t>
      </w:r>
    </w:p>
    <w:p/>
    <w:p>
      <w:pPr>
        <w:pStyle w:val="Heading2"/>
      </w:pPr>
      <w:r>
        <w:rPr>
          <w:rFonts w:ascii="Times New Roman" w:hAnsi="Times New Roman"/>
        </w:rPr>
        <w:t>4. UWG-Ansprüche (ergänzend)</w:t>
      </w:r>
    </w:p>
    <w:p>
      <w:pPr>
        <w:pStyle w:val="Heading3"/>
      </w:pPr>
      <w:r>
        <w:rPr>
          <w:rFonts w:ascii="Times New Roman" w:hAnsi="Times New Roman"/>
        </w:rPr>
        <w:t>4.1 Irreführende Geschäftspraktiken</w:t>
      </w:r>
    </w:p>
    <w:p>
      <w:pPr>
        <w:jc w:val="left"/>
      </w:pPr>
      <w:r>
        <w:t>Die Beklagten benutzen die Bezeichnung "TitanFlex Pro" in einer Weise, die bei angesprochenen Verkehrskreisen (Einkaufsabteilungen von Kliniken und Orthopädie-Chirurgen) den Eindruck erweckt, es handle sich um ein mit der Marke der Klägerin verbundenes oder von ihr lizenziertes Produkt. Dies stellt eine irreführende Geschäftspraktik i.S.d. § 5 UWG (dejure.org) dar.</w:t>
      </w:r>
    </w:p>
    <w:p>
      <w:pPr>
        <w:pStyle w:val="Heading3"/>
      </w:pPr>
      <w:r>
        <w:rPr>
          <w:rFonts w:ascii="Times New Roman" w:hAnsi="Times New Roman"/>
        </w:rPr>
        <w:t>4.2 Anschwärzung und unlautere Angebotspraxis</w:t>
      </w:r>
    </w:p>
    <w:p>
      <w:pPr>
        <w:jc w:val="left"/>
      </w:pPr>
      <w:r>
        <w:t>Laut internen Berichten der Mandantin (Anlage A-11: Gesprächsnotiz Dr. Sonnleitner nach Telefonat mit Chefarzt Dr. Bergmann, Universitätsklinikum Heidelberg, 20.01.2026) hat ein Vertreter der Bochstaedt OHG in Akquisegesprächen behauptet, die Vellbruck-Produkte seien "überteuert" und würden "nichts bieten, was TitanFlex Pro nicht billiger kann". Diese pauschale Herabsetzung, kombiniert mit Identitätsverwirrung durch die Zeichenähnlichkeit, begründet zugleich einen Anspruch aus § 4 Nr. 1 UWG (Anschwärzung) sowie § 6 Abs. 2 Nr. 4 UWG (Vergleichende Werbung mit Herabsetzung, dejure.org).</w:t>
      </w:r>
    </w:p>
    <w:p>
      <w:pPr>
        <w:pStyle w:val="Heading3"/>
      </w:pPr>
      <w:r>
        <w:rPr>
          <w:rFonts w:ascii="Times New Roman" w:hAnsi="Times New Roman"/>
        </w:rPr>
        <w:t>4.3 "Slavische Anbieter"-Strategie (UWG-Einordnung)</w:t>
      </w:r>
    </w:p>
    <w:p>
      <w:pPr>
        <w:jc w:val="left"/>
      </w:pPr>
      <w:r>
        <w:t>Die Mandantin hat festgestellt, dass Bochstaedt im Vertrieb gezielt mit dem Hinweis auf "östliche Herstellung zu deutlich niedrigeren Kosten" wirbt, um Kliniken zur Umstellung auf TitanFlex Pro zu bewegen. Diese Strategie ist patentrechtlich irrelevant, aber im Kontext des UWG bedeutsam: Sie begründet eine gezielte Behinderung i.S.d. § 4 Nr. 4 UWG (dejure.org), wenn sie mit gezielter Zeichenähnlichkeit kombiniert wird, um den Ruf der Klägerin zu unterlaufen.</w:t>
      </w:r>
    </w:p>
    <w:p/>
    <w:p>
      <w:pPr>
        <w:pStyle w:val="Heading2"/>
      </w:pPr>
      <w:r>
        <w:rPr>
          <w:rFonts w:ascii="Times New Roman" w:hAnsi="Times New Roman"/>
        </w:rPr>
        <w:t>5. Abmahnverfahren</w:t>
      </w:r>
    </w:p>
    <w:p>
      <w:pPr>
        <w:pStyle w:val="Heading3"/>
      </w:pPr>
      <w:r>
        <w:rPr>
          <w:rFonts w:ascii="Times New Roman" w:hAnsi="Times New Roman"/>
        </w:rPr>
        <w:t>5.1 Abmahnung (versandt 03.02.2026)</w:t>
      </w:r>
    </w:p>
    <w:p>
      <w:pPr>
        <w:jc w:val="left"/>
      </w:pPr>
      <w:r>
        <w:t>Die Kanzlei Birkenhainer &amp; Consulting hat am 03. Februar 2026 eine formelle Abmahnung an Bochstaedt MedSupply OHG versandt (Anlage DOCX-03 — Abmahnungsschreiben). Die Abmahnung enthält:</w:t>
      </w:r>
    </w:p>
    <w:p>
      <w:pPr>
        <w:pStyle w:val="ListBullet"/>
      </w:pPr>
      <w:r>
        <w:t>Unterlassungsaufforderung bezüglich "TitanFlex Pro"</w:t>
      </w:r>
    </w:p>
    <w:p>
      <w:pPr>
        <w:pStyle w:val="ListBullet"/>
      </w:pPr>
      <w:r>
        <w:t>Aufforderung zur Abgabe einer strafbewehrten Unterlassungserklärung innerhalb von 14 Tagen</w:t>
      </w:r>
    </w:p>
    <w:p>
      <w:pPr>
        <w:pStyle w:val="ListBullet"/>
      </w:pPr>
      <w:r>
        <w:t>Auskunftsverlangen gemäß § 19 MarkenG</w:t>
      </w:r>
    </w:p>
    <w:p>
      <w:pPr>
        <w:pStyle w:val="ListBullet"/>
      </w:pPr>
      <w:r>
        <w:t>Kostennote für die Abmahnung (Streitwert 500.000 EUR, Gebühren: 2.840,70 EUR netto)</w:t>
      </w:r>
    </w:p>
    <w:p>
      <w:pPr>
        <w:pStyle w:val="Heading3"/>
      </w:pPr>
      <w:r>
        <w:rPr>
          <w:rFonts w:ascii="Times New Roman" w:hAnsi="Times New Roman"/>
        </w:rPr>
        <w:t>5.2 Reaktion der Beklagten</w:t>
      </w:r>
    </w:p>
    <w:p>
      <w:pPr>
        <w:jc w:val="left"/>
      </w:pPr>
      <w:r>
        <w:t>Mit Schreiben vom 17. Februar 2026 wies Rechtsanwalt Kettner (Bevollmächtigter Bochstaedt, Kanzlei Kettner &amp; Blum, Stuttgart) die Abmahnung zurück. Bochstaedt bestreitet Verwechslungsgefahr mit der Begründung, "TitanFlex Pro" sei ausreichend unterscheidungskräftig durch den Zusatz "Pro" und die unterschiedliche graphische Gestaltung (blauer Schriftzug statt dem schwarzen der Mandantin). Dieses Argument überzeugt nicht (vgl. oben 3.1).</w:t>
      </w:r>
    </w:p>
    <w:p>
      <w:pPr>
        <w:jc w:val="left"/>
      </w:pPr>
      <w:r>
        <w:t>Die Weigerung, eine Unterlassungserklärung abzugeben, begründet die Dringlichkeit für eine einstweilige Verfügung vor dem LG Stuttgart (§ 14 Abs. 5 MarkenG, § 940 ZPO).</w:t>
      </w:r>
    </w:p>
    <w:p/>
    <w:p>
      <w:pPr>
        <w:jc w:val="left"/>
      </w:pPr>
      <w:r>
        <w:rPr>
          <w:i/>
        </w:rPr>
        <w:t>Quellen: § 14 MarkenG (dejure.org); § 15 MarkenG (dejure.org); § 18 MarkenG (dejure.org); § 19 MarkenG (dejure.org); Art. 9 UMV (EUR-Lex); § 4 UWG (dejure.org); § 5 UWG (dejure.org); § 6 UWG (dejure.org); EuGH C-120/04 — Medion (dejure.org); BGH I ZR 169/04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