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GeschG-Verletzung: Ingenieur Drostmann und Konstruktionsdaten</w:t>
      </w:r>
    </w:p>
    <w:p>
      <w:pPr>
        <w:jc w:val="left"/>
      </w:pPr>
      <w:r>
        <w:rPr>
          <w:b/>
        </w:rPr>
        <w:t>Aktenzeichen intern:</w:t>
      </w:r>
      <w:r>
        <w:t xml:space="preserve"> VM-2026-GR-001</w:t>
      </w:r>
    </w:p>
    <w:p>
      <w:pPr>
        <w:jc w:val="left"/>
      </w:pPr>
      <w:r>
        <w:rPr>
          <w:b/>
        </w:rPr>
        <w:t>Datum:</w:t>
      </w:r>
      <w:r>
        <w:t xml:space="preserve"> 10. Februar 2026</w:t>
      </w:r>
    </w:p>
    <w:p>
      <w:pPr>
        <w:jc w:val="left"/>
      </w:pPr>
      <w:r>
        <w:rPr>
          <w:b/>
        </w:rPr>
        <w:t>Bearbeiter:</w:t>
      </w:r>
      <w:r>
        <w:t xml:space="preserve"> RA Dr. Leonie Karstens / RA Dr. Birkenhainer</w:t>
      </w:r>
    </w:p>
    <w:p>
      <w:pPr>
        <w:jc w:val="left"/>
      </w:pPr>
      <w:r>
        <w:rPr>
          <w:b/>
        </w:rPr>
        <w:t>Rechtsgrundlage:</w:t>
      </w:r>
      <w:r>
        <w:t xml:space="preserve"> Gesetz zum Schutz von Geschäftsgeheimnissen (GeschG) v. 18.04.2019 (BGBl. I S. 466); Richtlinie (EU) 2016/943</w:t>
      </w:r>
    </w:p>
    <w:p/>
    <w:p>
      <w:pPr>
        <w:pStyle w:val="Heading2"/>
      </w:pPr>
      <w:r>
        <w:rPr>
          <w:rFonts w:ascii="Times New Roman" w:hAnsi="Times New Roman"/>
        </w:rPr>
        <w:t>1. Sachverhalt</w:t>
      </w:r>
    </w:p>
    <w:p>
      <w:pPr>
        <w:pStyle w:val="Heading3"/>
      </w:pPr>
      <w:r>
        <w:rPr>
          <w:rFonts w:ascii="Times New Roman" w:hAnsi="Times New Roman"/>
        </w:rPr>
        <w:t>1.1 Dienstzeit von Drostmann bei Vellbruck</w:t>
      </w:r>
    </w:p>
    <w:p>
      <w:pPr>
        <w:jc w:val="left"/>
      </w:pPr>
      <w:r>
        <w:t>Dipl.-Ing. Klaus Drostmann war vom 1. März 2016 bis zum 28. Februar 2024 bei der Vellbruck Medizintechnik GmbH als Leitender Konstruktionsingenieur in der Abteilung für Implantatentwicklung tätig. Er war maßgeblich an der Entwicklung des im Patent EP 3 218 922 B1 geschützten Hüftschaft-Designs beteiligt. Sein Aufgabenbereich umfasste:</w:t>
      </w:r>
    </w:p>
    <w:p>
      <w:pPr>
        <w:pStyle w:val="ListBullet"/>
      </w:pPr>
      <w:r>
        <w:t>Konstruktion und CAD-Modellierung der Schaftgeometrie und Fin-Anordnung</w:t>
      </w:r>
    </w:p>
    <w:p>
      <w:pPr>
        <w:pStyle w:val="ListBullet"/>
      </w:pPr>
      <w:r>
        <w:t>Mitarbeit an der Entwicklung des SLS-Prozesses für die poröse Titanoberfläche</w:t>
      </w:r>
    </w:p>
    <w:p>
      <w:pPr>
        <w:pStyle w:val="ListBullet"/>
      </w:pPr>
      <w:r>
        <w:t>Steuerung der Versuchsreihen zur Ermittlung der optimalen Porositätsbereiche (Laborberichte 2016–2018)</w:t>
      </w:r>
    </w:p>
    <w:p>
      <w:pPr>
        <w:pStyle w:val="ListBullet"/>
      </w:pPr>
      <w:r>
        <w:t>Koordination mit dem Zulieferer für den SLS-Prozess (EOS GmbH, Krailling)</w:t>
      </w:r>
    </w:p>
    <w:p>
      <w:pPr>
        <w:jc w:val="left"/>
      </w:pPr>
      <w:r>
        <w:t>Drostmann hatte im Rahmen seiner Tätigkeit Zugang zu sämtlichen unveröffentlichten CAD-Daten, Parametersätzen für den SLS-Prozess, internen Laborberichten sowie zu Konstruktionszeichnungen für die Nachfolgegeneration TitanFlex II (noch nicht patentangemeldet zum Zeitpunkt seines Ausscheidens).</w:t>
      </w:r>
    </w:p>
    <w:p>
      <w:pPr>
        <w:pStyle w:val="Heading3"/>
      </w:pPr>
      <w:r>
        <w:rPr>
          <w:rFonts w:ascii="Times New Roman" w:hAnsi="Times New Roman"/>
        </w:rPr>
        <w:t>1.2 Ausscheiden und Wechsel zu Bochstaedt</w:t>
      </w:r>
    </w:p>
    <w:p>
      <w:pPr>
        <w:jc w:val="left"/>
      </w:pPr>
      <w:r>
        <w:t>Im Herbst 2023 meldete Drostmann intern, dass er "neue Herausforderungen suche". Am 29. November 2023 kündigte er ordentlich zum 29. Februar 2024. Am 01. März 2024 trat er bei Bochstaedt MedSupply OHG als technischer Berater an.</w:t>
      </w:r>
    </w:p>
    <w:p>
      <w:pPr>
        <w:jc w:val="left"/>
      </w:pPr>
      <w:r>
        <w:t>Im Rahmen einer internen IT-Revision im Januar 2026 stellte Vellbruck fest:</w:t>
      </w:r>
    </w:p>
    <w:p>
      <w:pPr>
        <w:pStyle w:val="ListNumber"/>
      </w:pPr>
      <w:r>
        <w:t>In den letzten drei Wochen vor seinem Ausscheiden (08.–28. Februar 2024) griff Drostmann auf insgesamt 1.247 Dateien aus dem firmeninternen PLM-System (PTC Windchill) zu — deutlich mehr als in normalen Wochen (Durchschnitt: ca. 120 Dateien/Woche lt. Logfile-Auswertung, Anlage A-12).</w:t>
      </w:r>
    </w:p>
    <w:p>
      <w:pPr>
        <w:pStyle w:val="ListNumber"/>
      </w:pPr>
      <w:r>
        <w:t>Am 22. Februar 2024 wurde ein USB-Laufwerk an seinem Dienstlaptop angeschlossen und 4,2 GB Daten übertragen (Anlage A-13: IT-Forensikbericht Accenture Security GmbH, beauftragt von Vellbruck, Januar 2026).</w:t>
      </w:r>
    </w:p>
    <w:p>
      <w:pPr>
        <w:pStyle w:val="ListNumber"/>
      </w:pPr>
      <w:r>
        <w:t>Die übertragenen Dateien umfassen nach Analyse der Logfiles: CAD-Datei "HS_EP3218922_FIN_v8.stp" (Schaftgeometrie, Hauptanspruch EP-Patent), Parameterdatei "SLS_Process_Titan_Grade23_V4.pdf" (SLS-Prozessparameter), Rohdaten der Osseointegrations-Versuchsreihe 2017 (Laborberichte LB-2017-014 bis LB-2017-089).</w:t>
      </w:r>
    </w:p>
    <w:p>
      <w:pPr>
        <w:jc w:val="left"/>
      </w:pPr>
      <w:r>
        <w:t>Alle genannten Dateien unterlagen dem Geheimhaltungsschutz nach § 2 Nr. 1 GeschG, da Vellbruck angemessene Geheimhaltungsmaßnahmen ergriffen hatte (Vertraulichkeitskennzeichnung aller Dateien, Zugriffsbeschränkung auf Abteilung, NDA-Klauseln im Arbeitsvertrag Drostmann, Anlage A-14).</w:t>
      </w:r>
    </w:p>
    <w:p>
      <w:pPr>
        <w:pStyle w:val="Heading3"/>
      </w:pPr>
      <w:r>
        <w:rPr>
          <w:rFonts w:ascii="Times New Roman" w:hAnsi="Times New Roman"/>
        </w:rPr>
        <w:t>1.3 Verdacht der Nutzung durch Bochstaedt / TitanOrtho</w:t>
      </w:r>
    </w:p>
    <w:p>
      <w:pPr>
        <w:jc w:val="left"/>
      </w:pPr>
      <w:r>
        <w:t>Das Sachverständigengutachten Dr. Morbach (Erstfassung März 2026, Anlage PDF-02 — Redacted) stellt bei vergleichender Analyse der TitanFlex Pro-CAD-Konstruktion und der Vellbruck-Datei "HS_EP3218922_FIN_v8.stp" eine hohe strukturelle Ähnlichkeit im Bereich der distalen Fin-Geometrie (Winkel, Querschnitt) und der SLS-Prozessparameter fest. Die Ähnlichkeit geht über das hinaus, was allein durch die Patentoffenbarung zugänglich wäre — sie betrifft Konstruktionsdetails, die im Patent nicht beschrieben sind.</w:t>
      </w:r>
    </w:p>
    <w:p/>
    <w:p>
      <w:pPr>
        <w:pStyle w:val="Heading2"/>
      </w:pPr>
      <w:r>
        <w:rPr>
          <w:rFonts w:ascii="Times New Roman" w:hAnsi="Times New Roman"/>
        </w:rPr>
        <w:t>2. Rechtliche Prüfung nach GeschG</w:t>
      </w:r>
    </w:p>
    <w:p>
      <w:pPr>
        <w:pStyle w:val="Heading3"/>
      </w:pPr>
      <w:r>
        <w:rPr>
          <w:rFonts w:ascii="Times New Roman" w:hAnsi="Times New Roman"/>
        </w:rPr>
        <w:t>2.1 Vorliegen eines Geschäftsgeheimnisses</w:t>
      </w:r>
    </w:p>
    <w:p>
      <w:pPr>
        <w:jc w:val="left"/>
      </w:pPr>
      <w:r>
        <w:t>Nach § 2 Nr. 1 GeschG ist ein Geschäftsgeheimnis eine Information, die (a) nicht allgemein bekannt oder zugänglich ist, (b) einen wirtschaftlichen Wert hat und (c) angemessenen Geheimhaltungsmaßnahmen unterliegt.</w:t>
      </w:r>
    </w:p>
    <w:p>
      <w:pPr>
        <w:pStyle w:val="ListBullet"/>
      </w:pPr>
      <w:r>
        <w:rPr>
          <w:b/>
        </w:rPr>
        <w:t>(a) Nicht allgemein bekannt:</w:t>
      </w:r>
      <w:r>
        <w:t xml:space="preserve"> Die CAD-Datei, die SLS-Parameter und die Laborberichte sind nicht veröffentlicht und nicht aus dem Patent ableitbar. ✓</w:t>
      </w:r>
    </w:p>
    <w:p>
      <w:pPr>
        <w:pStyle w:val="ListBullet"/>
      </w:pPr>
      <w:r>
        <w:rPr>
          <w:b/>
        </w:rPr>
        <w:t>(b) Wirtschaftlicher Wert:</w:t>
      </w:r>
      <w:r>
        <w:t xml:space="preserve"> Der Wert der Konstruktionsdaten ist erheblich; sie bilden die Grundlage des Marktvorteils der Mandantin und wären einem Konkurrenten erhebliche Entwicklungskosten und -zeit wert. ✓</w:t>
      </w:r>
    </w:p>
    <w:p>
      <w:pPr>
        <w:pStyle w:val="ListBullet"/>
      </w:pPr>
      <w:r>
        <w:rPr>
          <w:b/>
        </w:rPr>
        <w:t>(c) Angemessene Maßnahmen:</w:t>
      </w:r>
      <w:r>
        <w:t xml:space="preserve"> NDA im Arbeitsvertrag, PLM-Zugangsbeschränkung, Vertraulichkeitskennzeichnung. ✓</w:t>
      </w:r>
    </w:p>
    <w:p>
      <w:pPr>
        <w:jc w:val="left"/>
      </w:pPr>
      <w:r>
        <w:rPr>
          <w:b/>
        </w:rPr>
        <w:t>Ergebnis:</w:t>
      </w:r>
      <w:r>
        <w:t xml:space="preserve"> Alle drei Voraussetzungen liegen vor. Geschäftsgeheimnisse i.S.d. § 2 Nr. 1 GeschG sind betroffen.</w:t>
      </w:r>
    </w:p>
    <w:p>
      <w:pPr>
        <w:pStyle w:val="Heading3"/>
      </w:pPr>
      <w:r>
        <w:rPr>
          <w:rFonts w:ascii="Times New Roman" w:hAnsi="Times New Roman"/>
        </w:rPr>
        <w:t>2.2 Verletzungshandlung</w:t>
      </w:r>
    </w:p>
    <w:p>
      <w:pPr>
        <w:jc w:val="left"/>
      </w:pPr>
      <w:r>
        <w:t>Drostmanns Verhalten erfüllt den Tatbestand des § 4 Abs. 1 Nr. 1 GeschG (unbefugte Nutzung und Offenbarung eines Geschäftsgeheimnisses durch einen Beschäftigten, dejure.org). Bochstaedt MedSupply OHG hat das Geschäftsgeheimnis in Kenntnis der Umstände genutzt (§ 4 Abs. 3 GeschG, dejure.org), sofern belegt werden kann, dass Bochstaedt von der Herkunft der Daten wusste oder hätte wissen müssen.</w:t>
      </w:r>
    </w:p>
    <w:p>
      <w:pPr>
        <w:pStyle w:val="Heading3"/>
      </w:pPr>
      <w:r>
        <w:rPr>
          <w:rFonts w:ascii="Times New Roman" w:hAnsi="Times New Roman"/>
        </w:rPr>
        <w:t>2.3 Ansprüche nach § 6 GeschG</w:t>
      </w:r>
    </w:p>
    <w:p>
      <w:pPr>
        <w:pStyle w:val="ListBullet"/>
      </w:pPr>
      <w:r>
        <w:rPr>
          <w:b/>
        </w:rPr>
        <w:t>Unterlassung:</w:t>
      </w:r>
      <w:r>
        <w:t xml:space="preserve"> § 6 Satz 1 GeschG (dejure.org): Unterlassung der Nutzung und Offenbarung der Konstruktionsdaten</w:t>
      </w:r>
    </w:p>
    <w:p>
      <w:pPr>
        <w:pStyle w:val="ListBullet"/>
      </w:pPr>
      <w:r>
        <w:rPr>
          <w:b/>
        </w:rPr>
        <w:t>Auskunft:</w:t>
      </w:r>
      <w:r>
        <w:t xml:space="preserve"> § 8 GeschG (dejure.org): Auskunft über Umfang der Nutzung</w:t>
      </w:r>
    </w:p>
    <w:p>
      <w:pPr>
        <w:pStyle w:val="ListBullet"/>
      </w:pPr>
      <w:r>
        <w:rPr>
          <w:b/>
        </w:rPr>
        <w:t>Schadensersatz:</w:t>
      </w:r>
      <w:r>
        <w:t xml:space="preserve"> § 10 GeschG (dejure.org): Ersatz des durch die Nutzung entstandenen Schadens (Entwicklungskosten, entgangene Lizenzgebühren)</w:t>
      </w:r>
    </w:p>
    <w:p>
      <w:pPr>
        <w:pStyle w:val="ListBullet"/>
      </w:pPr>
      <w:r>
        <w:rPr>
          <w:b/>
        </w:rPr>
        <w:t>Vernichtung:</w:t>
      </w:r>
      <w:r>
        <w:t xml:space="preserve"> § 7 GeschG: Vernichtung aller rechtswidrig erlangten Kopien</w:t>
      </w:r>
    </w:p>
    <w:p>
      <w:pPr>
        <w:pStyle w:val="Heading3"/>
      </w:pPr>
      <w:r>
        <w:rPr>
          <w:rFonts w:ascii="Times New Roman" w:hAnsi="Times New Roman"/>
        </w:rPr>
        <w:t>2.4 Strafrechtliche Dimension</w:t>
      </w:r>
    </w:p>
    <w:p>
      <w:pPr>
        <w:jc w:val="left"/>
      </w:pPr>
      <w:r>
        <w:t>Die Handlung Drostmanns erfüllt möglicherweise den Straftatbestand des § 23 GeschG (Verrat von Geschäftsgeheimnissen, dejure.org) sowie § 17 UWG a.F. (für die Zeit bis zum GeschG-Inkrafttreten). Es wird empfohlen, eine Strafanzeige gegen Drostmann bei der Staatsanwaltschaft Stuttgart zu erstatten. Eine Verurteilung würde die Schadensentstehung im Zivilverfahren stärken.</w:t>
      </w:r>
    </w:p>
    <w:p/>
    <w:p>
      <w:pPr>
        <w:pStyle w:val="Heading2"/>
      </w:pPr>
      <w:r>
        <w:rPr>
          <w:rFonts w:ascii="Times New Roman" w:hAnsi="Times New Roman"/>
        </w:rPr>
        <w:t>3. Beweissicherungsantrag</w:t>
      </w:r>
    </w:p>
    <w:p>
      <w:pPr>
        <w:jc w:val="left"/>
      </w:pPr>
      <w:r>
        <w:t>Die Kanzlei bereitet einen Antrag auf Beweissicherung gem. § 16 GeschG i.V.m. §§ 485 ff. ZPO vor, um die IT-Systeme von Bochstaedt MedSupply OHG durch einen gerichtlich bestellten Sachverständigen sichern zu lassen. Der Antrag wird beim LG Stuttgart gestellt.</w:t>
      </w:r>
    </w:p>
    <w:p>
      <w:pPr>
        <w:jc w:val="left"/>
      </w:pPr>
      <w:r>
        <w:t>Risiko: § 16 GeschG setzt "hinreichende Wahrscheinlichkeit" der Verletzung voraus. Der IT-Forensikbericht der Accenture Security GmbH sowie das Gutachten Dr. Morbach begründen eine solche Wahrscheinlichkeit.</w:t>
      </w:r>
    </w:p>
    <w:p/>
    <w:p>
      <w:pPr>
        <w:pStyle w:val="Heading2"/>
      </w:pPr>
      <w:r>
        <w:rPr>
          <w:rFonts w:ascii="Times New Roman" w:hAnsi="Times New Roman"/>
        </w:rPr>
        <w:t>4. Zeugenvorladung Drostmann</w:t>
      </w:r>
    </w:p>
    <w:p>
      <w:pPr>
        <w:jc w:val="left"/>
      </w:pPr>
      <w:r>
        <w:t>Am 18. April 2026 wurde Dipl.-Ing. Drostmann als Zeuge im Rahmen des LG-Verfahrens (GeschG) vorgeladen (EML-05). Sein Anwalt (RA Stierle, Aalen) hat angekündigt, er werde von seinem Auskunftsverweigerungsrecht gem. § 384 ZPO Gebrauch machen, soweit die Aussagen zur Selbstbelastung führen könnten. Dies ist ein Indiz für das Bewusstsein der Rechtswidrigkeit.</w:t>
      </w:r>
    </w:p>
    <w:p/>
    <w:p>
      <w:pPr>
        <w:jc w:val="left"/>
      </w:pPr>
      <w:r>
        <w:rPr>
          <w:i/>
        </w:rPr>
        <w:t>Quellen: § 2 GeschG (dejure.org); § 4 GeschG (dejure.org); § 6 GeschG (dejure.org); § 7 GeschG (dejure.org); § 8 GeschG (dejure.org); § 10 GeschG (dejure.org); § 16 GeschG (dejure.org); § 23 GeschG (dejure.org); Richtlinie (EU) 2016/943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