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08 — Designrecht: Eingetragenes Design DE 88-2026 und ergänzender Schutz</w:t>
      </w:r>
    </w:p>
    <w:p>
      <w:pPr>
        <w:jc w:val="left"/>
      </w:pPr>
      <w:r>
        <w:rPr>
          <w:b/>
        </w:rPr>
        <w:t>Aktenzeichen intern:</w:t>
      </w:r>
      <w:r>
        <w:t xml:space="preserve"> VM-2026-GR-001</w:t>
      </w:r>
    </w:p>
    <w:p>
      <w:pPr>
        <w:jc w:val="left"/>
      </w:pPr>
      <w:r>
        <w:rPr>
          <w:b/>
        </w:rPr>
        <w:t>Datum:</w:t>
      </w:r>
      <w:r>
        <w:t xml:space="preserve"> 12. Februar 2026</w:t>
      </w:r>
    </w:p>
    <w:p>
      <w:pPr>
        <w:jc w:val="left"/>
      </w:pPr>
      <w:r>
        <w:rPr>
          <w:b/>
        </w:rPr>
        <w:t>Bearbeiter:</w:t>
      </w:r>
      <w:r>
        <w:t xml:space="preserve"> RA Dr. Leonie Karstens / RA Dr. Birkenhainer</w:t>
      </w:r>
    </w:p>
    <w:p>
      <w:pPr>
        <w:jc w:val="left"/>
      </w:pPr>
      <w:r>
        <w:rPr>
          <w:b/>
        </w:rPr>
        <w:t>Rechtsgrundlage:</w:t>
      </w:r>
      <w:r>
        <w:t xml:space="preserve"> Designgesetz (DesignG) i.d.F. vom 24.02.2014 (BGBl. I S. 122); Verordnung (EG) Nr. 6/2002 (Gemeinschaftsgeschmacksmuster)</w:t>
      </w:r>
    </w:p>
    <w:p/>
    <w:p>
      <w:pPr>
        <w:pStyle w:val="Heading2"/>
      </w:pPr>
      <w:r>
        <w:rPr>
          <w:rFonts w:ascii="Times New Roman" w:hAnsi="Times New Roman"/>
        </w:rPr>
        <w:t>1. Das eingetragene Design DE 88-2026</w:t>
      </w:r>
    </w:p>
    <w:p>
      <w:pPr>
        <w:pStyle w:val="Heading3"/>
      </w:pPr>
      <w:r>
        <w:rPr>
          <w:rFonts w:ascii="Times New Roman" w:hAnsi="Times New Roman"/>
        </w:rPr>
        <w:t>1.1 Registrierungsdaten</w:t>
      </w:r>
    </w:p>
    <w:p>
      <w:pPr>
        <w:jc w:val="left"/>
      </w:pPr>
      <w:r>
        <w:t>Die Vellbruck Medizintechnik GmbH hat das äußere Erscheinungsbild des TitanFlex-Hüftschaft-Implantats als eingetragenes Design beim Deutschen Patent- und Markenamt (DPMA) angemeldet. Die Anmeldedaten sind:</w:t>
      </w:r>
    </w:p>
    <w:p>
      <w:pPr>
        <w:pStyle w:val="ListBullet"/>
      </w:pPr>
      <w:r>
        <w:rPr>
          <w:b/>
        </w:rPr>
        <w:t>Aktenzeichen DPMA:</w:t>
      </w:r>
      <w:r>
        <w:t xml:space="preserve"> DE 88-2026 (vorläufig; offizielle Eintragungsnummer nach Veröffentlichung)</w:t>
      </w:r>
    </w:p>
    <w:p>
      <w:pPr>
        <w:pStyle w:val="ListBullet"/>
      </w:pPr>
      <w:r>
        <w:rPr>
          <w:b/>
        </w:rPr>
        <w:t>Anmeldetag:</w:t>
      </w:r>
      <w:r>
        <w:t xml:space="preserve"> 08. Januar 2026</w:t>
      </w:r>
    </w:p>
    <w:p>
      <w:pPr>
        <w:pStyle w:val="ListBullet"/>
      </w:pPr>
      <w:r>
        <w:rPr>
          <w:b/>
        </w:rPr>
        <w:t>Anmelder:</w:t>
      </w:r>
      <w:r>
        <w:t xml:space="preserve"> Vellbruck Medizintechnik GmbH</w:t>
      </w:r>
    </w:p>
    <w:p>
      <w:pPr>
        <w:pStyle w:val="ListBullet"/>
      </w:pPr>
      <w:r>
        <w:rPr>
          <w:b/>
        </w:rPr>
        <w:t>Beschreibung:</w:t>
      </w:r>
      <w:r>
        <w:t xml:space="preserve"> Hüftschaft-Implantat mit poröser proximaler Oberfläche, drei lateralen distalen Rippen und charakteristischer Keilform des distalen Schaftendes</w:t>
      </w:r>
    </w:p>
    <w:p>
      <w:pPr>
        <w:pStyle w:val="ListBullet"/>
      </w:pPr>
      <w:r>
        <w:rPr>
          <w:b/>
        </w:rPr>
        <w:t>Prioritätsanspruch:</w:t>
      </w:r>
      <w:r>
        <w:t xml:space="preserve"> Keine (Neuanmeldung); da das Produkt erst seit 2018 auf dem Markt ist, besteht kein Offenbarungsproblem (12-monatige Grace Period nach § 6 Abs. 2 DesignG, dejure.org)</w:t>
      </w:r>
    </w:p>
    <w:p>
      <w:pPr>
        <w:pStyle w:val="ListBullet"/>
      </w:pPr>
      <w:r>
        <w:rPr>
          <w:b/>
        </w:rPr>
        <w:t>Status:</w:t>
      </w:r>
      <w:r>
        <w:t xml:space="preserve"> Angemeldet; Eintragung und Veröffentlichung ausstehend (erwartet Q2 2026)</w:t>
      </w:r>
    </w:p>
    <w:p>
      <w:pPr>
        <w:pStyle w:val="ListBullet"/>
      </w:pPr>
      <w:r>
        <w:rPr>
          <w:b/>
        </w:rPr>
        <w:t>Schutzdauer:</w:t>
      </w:r>
      <w:r>
        <w:t xml:space="preserve"> 5 Jahre ab Anmeldetag, verlängerbar bis zu 25 Jahren (§ 27 DesignG, dejure.org)</w:t>
      </w:r>
    </w:p>
    <w:p>
      <w:pPr>
        <w:pStyle w:val="Heading3"/>
      </w:pPr>
      <w:r>
        <w:rPr>
          <w:rFonts w:ascii="Times New Roman" w:hAnsi="Times New Roman"/>
        </w:rPr>
        <w:t>1.2 Schutzgegenstand</w:t>
      </w:r>
    </w:p>
    <w:p>
      <w:pPr>
        <w:jc w:val="left"/>
      </w:pPr>
      <w:r>
        <w:t>Das Design schützt das äußere Erscheinungsbild des Schaftimplantats, insbesondere:</w:t>
      </w:r>
    </w:p>
    <w:p>
      <w:pPr>
        <w:pStyle w:val="ListNumber"/>
      </w:pPr>
      <w:r>
        <w:t>Die charakteristische Form der drei distalen Rippen (Fins) mit trapezoidem Querschnitt und abgerundeten Kanten</w:t>
      </w:r>
    </w:p>
    <w:p>
      <w:pPr>
        <w:pStyle w:val="ListNumber"/>
      </w:pPr>
      <w:r>
        <w:t>Die optisch erkennbare poröse Oberfläche des proximalen Drittels (Schwammoptik im Makro-Bereich, vgl. Anlage JPG-02)</w:t>
      </w:r>
    </w:p>
    <w:p>
      <w:pPr>
        <w:pStyle w:val="ListNumber"/>
      </w:pPr>
      <w:r>
        <w:t>Die geschwungene Keilform des distalen Endes</w:t>
      </w:r>
    </w:p>
    <w:p>
      <w:pPr>
        <w:pStyle w:val="ListNumber"/>
      </w:pPr>
      <w:r>
        <w:t>Das Proportionsverhältnis von proximalem zu distalem Schaftdurchmesser (charakteristische Schlankheit)</w:t>
      </w:r>
    </w:p>
    <w:p>
      <w:pPr>
        <w:jc w:val="left"/>
      </w:pPr>
      <w:r>
        <w:t>Diese Elemente sind in den Designzeichnungen der Anmeldung (7 Ansichten: Vorderseite, Rückseite, linke Seite, rechte Seite, proximales Ende, distales Ende, Perspektive) vollständig dargestellt.</w:t>
      </w:r>
    </w:p>
    <w:p/>
    <w:p>
      <w:pPr>
        <w:pStyle w:val="Heading2"/>
      </w:pPr>
      <w:r>
        <w:rPr>
          <w:rFonts w:ascii="Times New Roman" w:hAnsi="Times New Roman"/>
        </w:rPr>
        <w:t>2. Schutzvoraussetzungen</w:t>
      </w:r>
    </w:p>
    <w:p>
      <w:pPr>
        <w:pStyle w:val="Heading3"/>
      </w:pPr>
      <w:r>
        <w:rPr>
          <w:rFonts w:ascii="Times New Roman" w:hAnsi="Times New Roman"/>
        </w:rPr>
        <w:t>2.1 Neuheit (§ 2 Abs. 2 DesignG)</w:t>
      </w:r>
    </w:p>
    <w:p>
      <w:pPr>
        <w:jc w:val="left"/>
      </w:pPr>
      <w:r>
        <w:t>Das Design ist neu, wenn kein identisches Design vor dem Anmeldetag (08.01.2026) der Öffentlichkeit zugänglich gemacht wurde. Das TitanFlex-Implantat wurde erstmals auf der Medica 2018 in Düsseldorf öffentlich vorgestellt — mehr als 12 Monate vor dem Anmeldetag. Die Grace Period des § 6 Abs. 2 DesignG greift jedoch hier nicht, da die 12-Monats-Frist vor dem Anmeldetag ausgehöhlt wäre.</w:t>
      </w:r>
    </w:p>
    <w:p>
      <w:pPr>
        <w:jc w:val="left"/>
      </w:pPr>
      <w:r>
        <w:rPr>
          <w:b/>
        </w:rPr>
        <w:t>Hinweis:</w:t>
      </w:r>
      <w:r>
        <w:t xml:space="preserve"> Die Frage der Neuheit ist kritisch. Da das Produkt seit 2018 auf dem Markt ist, liegt eine mehr als 12 Monate dauernde Vorbenutzung durch die Anmelderin selbst vor. Nach § 6 Abs. 2 DesignG gilt eine Designenthüllung durch den Entwerfer (oder mit seiner Zustimmung) innerhalb von 12 Monaten vor Anmeldung nicht als schadensrelevante Vorveröffentlichung. Eine Vorbenutzung, die mehr als 12 Monate zurückliegt, schadet jedoch der Neuheit.</w:t>
      </w:r>
    </w:p>
    <w:p>
      <w:pPr>
        <w:jc w:val="left"/>
      </w:pPr>
      <w:r>
        <w:rPr>
          <w:b/>
        </w:rPr>
        <w:t>Strategische Bewertung:</w:t>
      </w:r>
      <w:r>
        <w:t xml:space="preserve"> Das eingetragene Design DE 88-2026 ist in seiner Gültigkeit angreifbar, wenn Beklagte den Neuheitsmangel einwenden. Der Designschutz dient daher primär als zusätzliches Druckinstrument im Rahmen von Vergleichsverhandlungen. Eine Einstweilige Verfügung auf Basis des Designs allein wird nicht beantragt.</w:t>
      </w:r>
    </w:p>
    <w:p>
      <w:pPr>
        <w:pStyle w:val="Heading3"/>
      </w:pPr>
      <w:r>
        <w:rPr>
          <w:rFonts w:ascii="Times New Roman" w:hAnsi="Times New Roman"/>
        </w:rPr>
        <w:t>2.2 Eigenart (§ 2 Abs. 3 DesignG)</w:t>
      </w:r>
    </w:p>
    <w:p>
      <w:pPr>
        <w:jc w:val="left"/>
      </w:pPr>
      <w:r>
        <w:t>Das Design weist Eigenart auf, wenn der Gesamteindruck beim informierten Benutzer sich von dem Gesamteindruck unterscheidet, den ein vor dem Anmeldetag offenbartes Design erweckt. Der informierte Benutzer in diesem Kontext ist ein orthopädischer Chirurg mit Erfahrung in der Auswahl von Hüftimplantaten. Die Kombination aller vier charakteristischen Elemente (Fins, Porenoberflächenoptik, Keilform, Proportionen) ist im vorbekannten Formenschatz nicht zu finden.</w:t>
      </w:r>
    </w:p>
    <w:p/>
    <w:p>
      <w:pPr>
        <w:pStyle w:val="Heading2"/>
      </w:pPr>
      <w:r>
        <w:rPr>
          <w:rFonts w:ascii="Times New Roman" w:hAnsi="Times New Roman"/>
        </w:rPr>
        <w:t>3. Verletzung durch TitanFlex Pro</w:t>
      </w:r>
    </w:p>
    <w:p>
      <w:pPr>
        <w:pStyle w:val="Heading3"/>
      </w:pPr>
      <w:r>
        <w:rPr>
          <w:rFonts w:ascii="Times New Roman" w:hAnsi="Times New Roman"/>
        </w:rPr>
        <w:t>3.1 Ähnlichkeit der Designs</w:t>
      </w:r>
    </w:p>
    <w:p>
      <w:pPr>
        <w:jc w:val="left"/>
      </w:pPr>
      <w:r>
        <w:t>Der Vergleich der Designzeichnungen des DE 88-2026 mit den öffentlichen Produktabbildungen des TitanFlex Pro (CE-Dokumentation TitanOrtho, Anlage A-05) ergibt eine erhebliche Ähnlichkeit:</w:t>
      </w:r>
    </w:p>
    <w:p>
      <w:pPr>
        <w:pStyle w:val="ListBullet"/>
      </w:pPr>
      <w:r>
        <w:t>Anzahl und Form der Fins: identisch (drei Fins, trapezoid)</w:t>
      </w:r>
    </w:p>
    <w:p>
      <w:pPr>
        <w:pStyle w:val="ListBullet"/>
      </w:pPr>
      <w:r>
        <w:t>Proximal-distale Schlankheitsrelation: ähnlich (TitanFlex Pro geringfügig schlanker)</w:t>
      </w:r>
    </w:p>
    <w:p>
      <w:pPr>
        <w:pStyle w:val="ListBullet"/>
      </w:pPr>
      <w:r>
        <w:t>Poröse Oberfläche proximal: ähnlich (visuell nicht unterscheidbar ohne Messgerät)</w:t>
      </w:r>
    </w:p>
    <w:p>
      <w:pPr>
        <w:pStyle w:val="ListBullet"/>
      </w:pPr>
      <w:r>
        <w:t>Distales Keilende: nahezu identisch</w:t>
      </w:r>
    </w:p>
    <w:p>
      <w:pPr>
        <w:jc w:val="left"/>
      </w:pPr>
      <w:r>
        <w:t>Nach § 38 DesignG liegt eine Designverletzung vor, wenn das angegriffene Erzeugnis beim informierten Benutzer denselben Gesamteindruck erweckt wie das geschützte Design (dejure.org). Dies ist hier zu bejahen.</w:t>
      </w:r>
    </w:p>
    <w:p>
      <w:pPr>
        <w:pStyle w:val="Heading3"/>
      </w:pPr>
      <w:r>
        <w:rPr>
          <w:rFonts w:ascii="Times New Roman" w:hAnsi="Times New Roman"/>
        </w:rPr>
        <w:t>3.2 Ansprüche aus § 42 DesignG</w:t>
      </w:r>
    </w:p>
    <w:p>
      <w:pPr>
        <w:pStyle w:val="ListBullet"/>
      </w:pPr>
      <w:r>
        <w:rPr>
          <w:b/>
        </w:rPr>
        <w:t>Unterlassung:</w:t>
      </w:r>
      <w:r>
        <w:t xml:space="preserve"> § 42 Abs. 1 DesignG (dejure.org)</w:t>
      </w:r>
    </w:p>
    <w:p>
      <w:pPr>
        <w:pStyle w:val="ListBullet"/>
      </w:pPr>
      <w:r>
        <w:rPr>
          <w:b/>
        </w:rPr>
        <w:t>Auskunft:</w:t>
      </w:r>
      <w:r>
        <w:t xml:space="preserve"> § 46 DesignG</w:t>
      </w:r>
    </w:p>
    <w:p>
      <w:pPr>
        <w:pStyle w:val="ListBullet"/>
      </w:pPr>
      <w:r>
        <w:rPr>
          <w:b/>
        </w:rPr>
        <w:t>Schadensersatz:</w:t>
      </w:r>
      <w:r>
        <w:t xml:space="preserve"> § 42 Abs. 2 DesignG i.V.m. § 252 BGB</w:t>
      </w:r>
    </w:p>
    <w:p/>
    <w:p>
      <w:pPr>
        <w:pStyle w:val="Heading2"/>
      </w:pPr>
      <w:r>
        <w:rPr>
          <w:rFonts w:ascii="Times New Roman" w:hAnsi="Times New Roman"/>
        </w:rPr>
        <w:t>4. Gemeinschaftsgeschmacksmusterschutz (GGM)</w:t>
      </w:r>
    </w:p>
    <w:p>
      <w:pPr>
        <w:jc w:val="left"/>
      </w:pPr>
      <w:r>
        <w:t>Neben dem eingetragenen nationalen Design kommt auch der Schutz durch ein nicht eingetragenes Gemeinschaftsgeschmacksmuster gem. Art. 11 Verordnung (EG) Nr. 6/2002 in Betracht. Dieser Schutz entsteht automatisch mit der ersten Offenbarung innerhalb der EU und dauert drei Jahre. Da TitanFlex von Vellbruck erstmals 2018 in der EU (Medica Düsseldorf) gezeigt wurde, ist der 3-jährige Schutz abgelaufen. Dieser Anspruch greift daher nicht.</w:t>
      </w:r>
    </w:p>
    <w:p/>
    <w:p>
      <w:pPr>
        <w:pStyle w:val="Heading2"/>
      </w:pPr>
      <w:r>
        <w:rPr>
          <w:rFonts w:ascii="Times New Roman" w:hAnsi="Times New Roman"/>
        </w:rPr>
        <w:t>5. Ergänzender wettbewerbsrechtlicher Leistungsschutz</w:t>
      </w:r>
    </w:p>
    <w:p>
      <w:pPr>
        <w:jc w:val="left"/>
      </w:pPr>
      <w:r>
        <w:t>Unabhängig vom Designrecht besteht ein Anspruch aus ergänzendem Leistungsschutz nach § 4 Nr. 3 lit. a UWG (dejure.org). Voraussetzung ist eine wettbewerbliche Eigenart des Produktes und eine Nachahmung. Beide Voraussetzungen liegen hier vor. Dieser Anspruch ist unabhängig von der Gültigkeitsfrage des Designs und bildet eine zusätzliche Anspruchsgrundlage.</w:t>
      </w:r>
    </w:p>
    <w:p/>
    <w:p>
      <w:pPr>
        <w:jc w:val="left"/>
      </w:pPr>
      <w:r>
        <w:rPr>
          <w:i/>
        </w:rPr>
        <w:t>Quellen: § 2 DesignG (dejure.org); § 6 DesignG (dejure.org); § 27 DesignG (dejure.org); § 38 DesignG (dejure.org); § 42 DesignG (dejure.org); § 46 DesignG (dejure.org); Art. 11 VO (EG) Nr. 6/2002 (EUR-Lex); § 4 Nr. 3 UWG (dejure.org).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