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10 — FRAND-Lizenzstreit mit Schwesterfirma USA</w:t>
      </w:r>
    </w:p>
    <w:p>
      <w:pPr>
        <w:jc w:val="left"/>
      </w:pPr>
      <w:r>
        <w:rPr>
          <w:b/>
        </w:rPr>
        <w:t>Aktenzeichen intern:</w:t>
      </w:r>
      <w:r>
        <w:t xml:space="preserve"> VM-2026-GR-001 (Unterakte FRAND)</w:t>
      </w:r>
    </w:p>
    <w:p>
      <w:pPr>
        <w:jc w:val="left"/>
      </w:pPr>
      <w:r>
        <w:rPr>
          <w:b/>
        </w:rPr>
        <w:t>Datum:</w:t>
      </w:r>
      <w:r>
        <w:t xml:space="preserve"> 20. Februar 2026</w:t>
      </w:r>
    </w:p>
    <w:p>
      <w:pPr>
        <w:jc w:val="left"/>
      </w:pPr>
      <w:r>
        <w:rPr>
          <w:b/>
        </w:rPr>
        <w:t>Bearbeiter:</w:t>
      </w:r>
      <w:r>
        <w:t xml:space="preserve"> RA Dr. Birkenhainer (koordinierend; separates US-Mandat läuft bei Kanzlei Harrington &amp; McCullough LLP, Washington D.C.)</w:t>
      </w:r>
    </w:p>
    <w:p/>
    <w:p>
      <w:pPr>
        <w:pStyle w:val="Heading2"/>
      </w:pPr>
      <w:r>
        <w:rPr>
          <w:rFonts w:ascii="Times New Roman" w:hAnsi="Times New Roman"/>
        </w:rPr>
        <w:t>1. Hintergrund und Unternehmensstruktur</w:t>
      </w:r>
    </w:p>
    <w:p>
      <w:pPr>
        <w:jc w:val="left"/>
      </w:pPr>
      <w:r>
        <w:t xml:space="preserve">Die Vellbruck Medizintechnik GmbH ist eine Tochtergesellschaft der Vellbruck International Holding GmbH (Sitz: Luxemburg). Ebenfalls zur Unternehmensgruppe gehört die </w:t>
      </w:r>
      <w:r>
        <w:rPr>
          <w:b/>
        </w:rPr>
        <w:t>Vellbruck MedTech Inc.</w:t>
      </w:r>
      <w:r>
        <w:t xml:space="preserve"> (Sitz: Wilmington, Delaware, USA; Geschäftsbetrieb in Boston, Massachusetts). Die US-amerikanische Schwesterfirma entwickelt und vertreibt im US-Markt Hüft- und Knieimplantate.</w:t>
      </w:r>
    </w:p>
    <w:p>
      <w:pPr>
        <w:jc w:val="left"/>
      </w:pPr>
      <w:r>
        <w:t>Zwischen der deutschen Vellbruck GmbH (Patentinhaberin des EP 3 218 922 B1 und des korrespondierenden US-Patents US 10,952,874 B2, erteilt 23.03.2021) und der Vellbruck MedTech Inc. besteht ein Lizenzvertrag aus dem Jahr 2021, der der US-Schwester das ausschließliche Recht zur Nutzung des US-Patents gegen eine Lizenzgebühr von 4,5 % des Nettoumsatzes gewährt.</w:t>
      </w:r>
    </w:p>
    <w:p/>
    <w:p>
      <w:pPr>
        <w:pStyle w:val="Heading2"/>
      </w:pPr>
      <w:r>
        <w:rPr>
          <w:rFonts w:ascii="Times New Roman" w:hAnsi="Times New Roman"/>
        </w:rPr>
        <w:t>2. Der FRAND-Streit: Sachverhalt</w:t>
      </w:r>
    </w:p>
    <w:p>
      <w:pPr>
        <w:pStyle w:val="Heading3"/>
      </w:pPr>
      <w:r>
        <w:rPr>
          <w:rFonts w:ascii="Times New Roman" w:hAnsi="Times New Roman"/>
        </w:rPr>
        <w:t>2.1 Anlass des Streits</w:t>
      </w:r>
    </w:p>
    <w:p>
      <w:pPr>
        <w:jc w:val="left"/>
      </w:pPr>
      <w:r>
        <w:t>Im Herbst 2025 nahm Vellbruck MedTech Inc. Kontakt zu einer Standardisierungsorganisation (ASTM International, Fachausschuss F04 für Medizinprodukte) auf und hinterlegte Lizenzbereitschaftserklärungen für das US-Patent US 10,952,874 B2 auf FRAND-Basis (Fair, Reasonable, And Non-Discriminatory). Diese Hinterlegung erfolgte ohne ausdrückliche Genehmigung der deutschen Patenteigentümerin Vellbruck GmbH und mit dem erklärten Ziel, Standardlizenzkonditionen für den US-Markt zu etablieren.</w:t>
      </w:r>
    </w:p>
    <w:p>
      <w:pPr>
        <w:jc w:val="left"/>
      </w:pPr>
      <w:r>
        <w:t>Die Vellbruck GmbH erfuhr von dieser Hinterlegung erst im Dezember 2025 durch einen Hinweis des US-amerikanischen Patentanwalts Harrington. Die Konsequenz: Wenn das US-Patent in eine ASTM-Norm eingebettet wird und FRAND-Bedingungen gelten, könnte dies Rückwirkungen auf den Lizenzwert des europäischen Pendants EP 3 218 922 B1 haben — insbesondere, wenn beklagte Verletzer (hier: TitanOrtho, Bochstaedt) im UPC-Verfahren eine Lizenzbereitschaftserklärung mit FRAND-Konditionen beantragen.</w:t>
      </w:r>
    </w:p>
    <w:p>
      <w:pPr>
        <w:pStyle w:val="Heading3"/>
      </w:pPr>
      <w:r>
        <w:rPr>
          <w:rFonts w:ascii="Times New Roman" w:hAnsi="Times New Roman"/>
        </w:rPr>
        <w:t>2.2 Rechtliche Streitfragen</w:t>
      </w:r>
    </w:p>
    <w:p>
      <w:pPr>
        <w:jc w:val="left"/>
      </w:pPr>
      <w:r>
        <w:rPr>
          <w:b/>
        </w:rPr>
        <w:t>Frage 1: War Vellbruck MedTech Inc. berechtigt, FRAND-Erklärungen für das US-Patent abzugeben?</w:t>
      </w:r>
    </w:p>
    <w:p>
      <w:pPr>
        <w:jc w:val="left"/>
      </w:pPr>
      <w:r>
        <w:t>Der Lizenzvertrag zwischen Vellbruck GmbH und Vellbruck MedTech Inc. enthält eine Klausel (§ 4 Abs. 3 LizenzV), die Unterlizenzierung und Sublizenzierung an Dritte unter dem Vorbehalt der Zustimmung der Lizenzgeberin stellt. Eine FRAND-Erklärung gegenüber einer Standardisierungsorganisation ist rechtlich als Unterlizenzierungsbereitschaftserklärung zu werten. Die Zustimmung der Vellbruck GmbH lag nicht vor.</w:t>
      </w:r>
    </w:p>
    <w:p>
      <w:pPr>
        <w:jc w:val="left"/>
      </w:pPr>
      <w:r>
        <w:rPr>
          <w:b/>
        </w:rPr>
        <w:t>Frage 2: Welche Auswirkungen hat die FRAND-Erklärung auf die europäischen Lizenzkonditionen?</w:t>
      </w:r>
    </w:p>
    <w:p>
      <w:pPr>
        <w:jc w:val="left"/>
      </w:pPr>
      <w:r>
        <w:t>Wenn beklagte Verletzer im UPC-Verfahren Kenntnis von der FRAND-Hinterlegung erlangen, könnten sie beantragen, dass auch das EP 3 218 922 B1 FRAND-Konditionen unterliegt. Dies würde die Lizenzgebühr erheblich reduzieren (FRAND-Standardsatz im Medizintechnikbereich typischerweise 0,5–2 % statt der marktüblichen 4–6 % Lizenzanalogie). Der EuGH (C-170/13 — Huawei ./. ZTE, ECLI:EU:C:2015:477, dejure.org) hat klare Anforderungen an die FRAND-Prozesskommunikation entwickelt, die aber primär für standardessentielle Patente (SEP) gelten.</w:t>
      </w:r>
    </w:p>
    <w:p>
      <w:pPr>
        <w:jc w:val="left"/>
      </w:pPr>
      <w:r>
        <w:t>Hier ist das EP 3 218 922 B1 kein SEP (es ist nicht von einer anerkannten Standardisierungsorganisation als standard-essenziell deklariert). Die FRAND-Rechtsprechung gilt daher nur mittelbar, soweit die US-Erklärung als Marktverhalten der Vellbruck-Gruppe gewertet wird.</w:t>
      </w:r>
    </w:p>
    <w:p>
      <w:pPr>
        <w:jc w:val="left"/>
      </w:pPr>
      <w:r>
        <w:rPr>
          <w:b/>
        </w:rPr>
        <w:t>Frage 3: Schadensersatz der Vellbruck GmbH gegen Vellbruck MedTech Inc.?</w:t>
      </w:r>
    </w:p>
    <w:p>
      <w:pPr>
        <w:jc w:val="left"/>
      </w:pPr>
      <w:r>
        <w:t>Die unbefugte FRAND-Erklärung begründet möglicherweise einen Schadensersatzanspruch der deutschen Lizenzgeberin gegen die US-Schwester wegen Verletzung des Lizenzvertrags. Anwendbares Recht: deutsches Vertragsrecht (§ 280 BGB), sofern der Lizenzvertrag eine Rechtswahlklausel zugunsten deutschen Rechts enthält (Prüfung durch Harrington &amp; McCullough läuft).</w:t>
      </w:r>
    </w:p>
    <w:p/>
    <w:p>
      <w:pPr>
        <w:pStyle w:val="Heading2"/>
      </w:pPr>
      <w:r>
        <w:rPr>
          <w:rFonts w:ascii="Times New Roman" w:hAnsi="Times New Roman"/>
        </w:rPr>
        <w:t>3. Auswirkungen auf das UPC-Verfahren ACT_0188/2026</w:t>
      </w:r>
    </w:p>
    <w:p>
      <w:pPr>
        <w:jc w:val="left"/>
      </w:pPr>
      <w:r>
        <w:t>Die Kanzlei Birkenhainer hat die Frage intern geprüft: Können TitanOrtho oder Bochstaedt im UPC-Verfahren die FRAND-Erklärung als Einwand gegen den Unterlassungsanspruch geltend machen?</w:t>
      </w:r>
    </w:p>
    <w:p>
      <w:pPr>
        <w:jc w:val="left"/>
      </w:pPr>
      <w:r>
        <w:rPr>
          <w:b/>
        </w:rPr>
        <w:t>Ergebnis der Prüfung (vorläufig):</w:t>
      </w:r>
    </w:p>
    <w:p>
      <w:pPr>
        <w:jc w:val="left"/>
      </w:pPr>
      <w:r>
        <w:t>Die FRAND-Erklärung bezieht sich auf das US-Patent US 10,952,874 B2, nicht auf EP 3 218 922 B1. Das europäische Patent ist nicht in einem europäischen oder globalen Standard eingebettet. Eine direkte Wirkung der US-FRAND-Erklärung auf die europäische Patentposition besteht daher nicht. Allerdings:</w:t>
      </w:r>
    </w:p>
    <w:p>
      <w:pPr>
        <w:pStyle w:val="ListBullet"/>
      </w:pPr>
      <w:r>
        <w:t>Es besteht ein mittelbares Risiko: Falls Beklagte im UPC argumentieren, die Vellbruck-Gruppe habe durch die FRAND-Erklärung in den USA das Recht auf einen Unterlassungsanspruch in Europa verwirkt oder müsse zumindest Lizenzgebühren auf FRAND-Basis anbieten, würde dies die Verhandlungsposition schwächen.</w:t>
      </w:r>
    </w:p>
    <w:p>
      <w:pPr>
        <w:pStyle w:val="ListBullet"/>
      </w:pPr>
      <w:r>
        <w:t>Die Mandantin hat gegenüber TitanOrtho und Bochstaedt nie FRAND-Bereitschaft erklärt.</w:t>
      </w:r>
    </w:p>
    <w:p>
      <w:pPr>
        <w:jc w:val="left"/>
      </w:pPr>
      <w:r>
        <w:rPr>
          <w:b/>
        </w:rPr>
        <w:t>Empfehlung:</w:t>
      </w:r>
      <w:r>
        <w:t xml:space="preserve"> Die US-Situation schnell bereinigen (Widerruf oder klarstellende Ergänzung der FRAND-Erklärung durch Vellbruck MedTech Inc. mit Genehmigung der Vellbruck GmbH), um jeden FRAND-Einwand im UPC-Verfahren von vorneherein zu entkräften.</w:t>
      </w:r>
    </w:p>
    <w:p/>
    <w:p>
      <w:pPr>
        <w:pStyle w:val="Heading2"/>
      </w:pPr>
      <w:r>
        <w:rPr>
          <w:rFonts w:ascii="Times New Roman" w:hAnsi="Times New Roman"/>
        </w:rPr>
        <w:t>4. Aktueller Stand und nächste Schritte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Schritt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Verantwortlich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Frist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Analyse Lizenzvertrag (Rechtswahlklausel, Reichweite § 4 Abs. 3)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Harrington &amp; McCullough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01.03.2026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Anfrage an Vellbruck MedTech Inc. (CEO Nathaniel Moore) zur Rücknahme FRAND-Erklärung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Dr. Sonnleitner (Mandantin)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15.02.2026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Klärung ASTM-Verfahrensstatus: Ist US-Patent bereits in Norm-Entwurf eingebettet?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Harrington &amp; McCullough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01.03.2026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Vertragsverletzungsklage Vellbruck GmbH ./. Vellbruck MedTech Inc. (falls keine Einigung)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Dr. Birkenhainer + Harrington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</w:tr>
    </w:tbl>
    <w:p/>
    <w:p>
      <w:pPr>
        <w:jc w:val="left"/>
      </w:pPr>
      <w:r>
        <w:rPr>
          <w:i/>
        </w:rPr>
        <w:t>Quellen: EuGH C-170/13 — Huawei ./. ZTE (EUR-Lex); § 280 BGB (dejure.org); BGH KZR 36/17 — FRAND-Einwand (openjur.de).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