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12 — IP-Kollisionsschlachtfeld: Gesamtübersicht aller Schutzrechte und Verfahren</w:t>
      </w:r>
    </w:p>
    <w:p>
      <w:pPr>
        <w:jc w:val="left"/>
      </w:pPr>
      <w:r>
        <w:rPr>
          <w:b/>
        </w:rPr>
        <w:t>Aktenzeichen intern:</w:t>
      </w:r>
      <w:r>
        <w:t xml:space="preserve"> VM-2026-GR-001</w:t>
      </w:r>
    </w:p>
    <w:p>
      <w:pPr>
        <w:jc w:val="left"/>
      </w:pPr>
      <w:r>
        <w:rPr>
          <w:b/>
        </w:rPr>
        <w:t>Datum:</w:t>
      </w:r>
      <w:r>
        <w:t xml:space="preserve"> 15. März 2026</w:t>
      </w:r>
    </w:p>
    <w:p>
      <w:pPr>
        <w:jc w:val="left"/>
      </w:pPr>
      <w:r>
        <w:rPr>
          <w:b/>
        </w:rPr>
        <w:t>Bearbeiter:</w:t>
      </w:r>
      <w:r>
        <w:t xml:space="preserve"> RA Dr. Birkenhainer / RA Fehrenbach</w:t>
      </w:r>
    </w:p>
    <w:p/>
    <w:p>
      <w:pPr>
        <w:pStyle w:val="Heading2"/>
      </w:pPr>
      <w:r>
        <w:rPr>
          <w:rFonts w:ascii="Times New Roman" w:hAnsi="Times New Roman"/>
        </w:rPr>
        <w:t>1. Einleitung</w:t>
      </w:r>
    </w:p>
    <w:p>
      <w:pPr>
        <w:jc w:val="left"/>
      </w:pPr>
      <w:r>
        <w:t>Das vorliegende Mandat ist ungewöhnlich komplex, weil es in seltener Dichte mehrere parallele Schutzrechtspositionen und Verfahrensebenen vereint. Dieses Aktenstück gibt einen synoptischen Überblick über das gesamte IP-Kollisionsfeld und dient der internen Kommunikation und Entscheidungsfindung.</w:t>
      </w:r>
    </w:p>
    <w:p/>
    <w:p>
      <w:pPr>
        <w:pStyle w:val="Heading2"/>
      </w:pPr>
      <w:r>
        <w:rPr>
          <w:rFonts w:ascii="Times New Roman" w:hAnsi="Times New Roman"/>
        </w:rPr>
        <w:t>2. Schutzrechtsportfolio Vellbruck — Gesamtübersicht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Schutzrecht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Kennnummer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Gerichtlicher Durchsetzungsweg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Stärke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Patent (EP)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EP 3 218 922 B1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 Kraft; Nichtigkeitsklage BPatG anhängig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UPC Düsseldorf ACT_0188/2026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Unionsmarke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UM 018-882-188 TITANFLEX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 Kraft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LG Stuttgart (EVf + Hauptsache)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Design (DE)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DE 88-2026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Angemeldet, noch nicht erteilt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LG Düsseldorf (nach Erteilung)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 (Neuheitsrisiko)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Geschäftsgeheimnis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Verletzung durch Drostmann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LG Stuttgart (GeschG)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 (Beweisführung läuft)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Nicht eingetragenes GGM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Abgelaufen (seit 2021)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Nicht anwendbar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Verfahrensmatrix: Beteiligte, Gerichte, Ansprüche</w:t>
      </w:r>
    </w:p>
    <w:p>
      <w:pPr>
        <w:pStyle w:val="Heading3"/>
      </w:pPr>
      <w:r>
        <w:rPr>
          <w:rFonts w:ascii="Times New Roman" w:hAnsi="Times New Roman"/>
        </w:rPr>
        <w:t>3.1 Beklagte zu 1: TitanOrtho Sp. z o.o. (Wroclaw)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Anspruch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Verletzungsklage Patent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UPC Düsseldorf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139 PatG / Art. 25 UPCA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 zugestellt 04.03.2026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Einstweilige Verfügung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UPC Düsseldorf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62 UPCA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EVF_0044/2026; Entscheidung ausstehend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Grenzbeschlagnahme (Produkte TitanOrtho aus PL)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HZA Frankfurt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 608/2013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ZA-2026-FRA-0381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Markenklage (Herstellerrolle)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Stuttgart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14 MarkenG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Abmahnung + Klage vorbereiten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Beklagte zu 2: Bochstaedt MedSupply OHG (Aalen)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Anspruch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Verletzungsklage Patent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UPC Düsseldorf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139 PatG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 zugestellt 03.03.2026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Nichtigkeitsklage (Kläger: Bochstaedt)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BPatG München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§§ 81 ff. PatG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Ni 18/26; Klageerwiderung bis 20.06.2026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Markenklage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Stuttgart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14 MarkenG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Abmahnung 03.02.2026; Weigerung 17.02.2026; EVf in Vorbereitung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GeschG-Klage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Stuttgart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§§ 6, 10 GeschG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Sicherungsantrag in Vorbereitung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UWG-Klage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Stuttgart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§§ 3–5 UWG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Verbunden mit Markenklage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Grenzbeschlagnahme (Import China)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HZA Frankfurt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 608/2013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ZA-2026-FRA-0381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3.3 Dipl.-Ing. Drostmann (als Zeuge und möglicher Klagegegner)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Anspruch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Zeugenvorladung GeschG-Verfahren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LG Stuttgart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EML-05; Termin 18.04.2026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Strafanzeige (§ 23 GeschG)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 Stuttgart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23 GeschG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Vorbereitung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Interaktionsrisiken der parallelen Verfahren</w:t>
      </w:r>
    </w:p>
    <w:p>
      <w:pPr>
        <w:pStyle w:val="Heading3"/>
      </w:pPr>
      <w:r>
        <w:rPr>
          <w:rFonts w:ascii="Times New Roman" w:hAnsi="Times New Roman"/>
        </w:rPr>
        <w:t>4.1 Aussetzungsrisiko UPC durch BPatG-Nichtigkeitsklage</w:t>
      </w:r>
    </w:p>
    <w:p>
      <w:pPr>
        <w:jc w:val="left"/>
      </w:pPr>
      <w:r>
        <w:t>Wie in Aktenstück 05 dargestellt, kann die UPC die Verletzungsklage gem. Art. 33 Abs. 10 UPCA bis zur Entscheidung des BPatG aussetzen. Dies würde die Durchsetzung erheblich verzögern (BPatG-Entscheidung voraussichtlich Q1 2028). Strategie: Im UPC-Verfahren Antrag auf Nicht-Aussetzung; Stärke der Verteidigung gegen BPatG-Klage demonstrieren.</w:t>
      </w:r>
    </w:p>
    <w:p>
      <w:pPr>
        <w:pStyle w:val="Heading3"/>
      </w:pPr>
      <w:r>
        <w:rPr>
          <w:rFonts w:ascii="Times New Roman" w:hAnsi="Times New Roman"/>
        </w:rPr>
        <w:t>4.2 Koordinationspflicht bei Auskunftsansprüchen</w:t>
      </w:r>
    </w:p>
    <w:p>
      <w:pPr>
        <w:jc w:val="left"/>
      </w:pPr>
      <w:r>
        <w:t>Auskunftsansprüche aus § 140b PatG (UPC), § 19 MarkenG (LG Stuttgart) und § 8 GeschG (LG Stuttgart) könnten zu redundanten Auskunftsprozessen führen. Empfehlung: Koordination der Auskunftsverlangen in einem kombinierten Termin oder nach Möglichkeit Verbindung der Verfahren beim LG Stuttgart.</w:t>
      </w:r>
    </w:p>
    <w:p>
      <w:pPr>
        <w:pStyle w:val="Heading3"/>
      </w:pPr>
      <w:r>
        <w:rPr>
          <w:rFonts w:ascii="Times New Roman" w:hAnsi="Times New Roman"/>
        </w:rPr>
        <w:t>4.3 Beweismittelüberschneidung</w:t>
      </w:r>
    </w:p>
    <w:p>
      <w:pPr>
        <w:jc w:val="left"/>
      </w:pPr>
      <w:r>
        <w:t>Das Sachverständigengutachten Dr. Morbach (Anlage PDF-02) ist sowohl für das UPC-Patentverletzungsverfahren als auch für das GeschG-Verfahren relevant. Die Einreichung als Parteigutachten im UPC-Verfahren und als Beweismittel im LG-Verfahren muss koordiniert werden, um Widersprüche zu vermeiden.</w:t>
      </w:r>
    </w:p>
    <w:p>
      <w:pPr>
        <w:pStyle w:val="Heading3"/>
      </w:pPr>
      <w:r>
        <w:rPr>
          <w:rFonts w:ascii="Times New Roman" w:hAnsi="Times New Roman"/>
        </w:rPr>
        <w:t>4.4 Vergleichsverhandlungen — Kohärenz wahren</w:t>
      </w:r>
    </w:p>
    <w:p>
      <w:pPr>
        <w:jc w:val="left"/>
      </w:pPr>
      <w:r>
        <w:t>Sollten Vergleichsgespräche aufgenommen werden (vgl. Aktenstück 17), müssen alle parallelen Verfahren simultaner Reglung zugänglich sein. Ein patentrechtlicher Vergleich ohne Marken- und GeschG-Regelung wäre unvollständig und rechtlich riskant.</w:t>
      </w:r>
    </w:p>
    <w:p/>
    <w:p>
      <w:pPr>
        <w:pStyle w:val="Heading2"/>
      </w:pPr>
      <w:r>
        <w:rPr>
          <w:rFonts w:ascii="Times New Roman" w:hAnsi="Times New Roman"/>
        </w:rPr>
        <w:t>5. Strategische Stärken-Schwächen-Analyse</w:t>
      </w:r>
    </w:p>
    <w:p>
      <w:pPr>
        <w:jc w:val="left"/>
      </w:pPr>
      <w:r>
        <w:rPr>
          <w:b/>
        </w:rPr>
        <w:t>Stärken der Mandantin:</w:t>
      </w:r>
    </w:p>
    <w:p>
      <w:pPr>
        <w:pStyle w:val="ListBullet"/>
      </w:pPr>
      <w:r>
        <w:t>Starkes, breit angelegtes Patent mit mehreren Ansprüchen; Hauptanspruch wortsinngemäß verletzt</w:t>
      </w:r>
    </w:p>
    <w:p>
      <w:pPr>
        <w:pStyle w:val="ListBullet"/>
      </w:pPr>
      <w:r>
        <w:t>Gut dokumentierter Verletzungsbeginn (Oktober 2024); Schadensperiode klar abgrenzbar</w:t>
      </w:r>
    </w:p>
    <w:p>
      <w:pPr>
        <w:pStyle w:val="ListBullet"/>
      </w:pPr>
      <w:r>
        <w:t>Kombinierte Anspruchsbasis (Patent + Marke + GeschG) erhöht Vergleichsdruck erheblich</w:t>
      </w:r>
    </w:p>
    <w:p>
      <w:pPr>
        <w:pStyle w:val="ListBullet"/>
      </w:pPr>
      <w:r>
        <w:t>Sachverständiger Dr. Morbach hochkarätig und bereits beauftragt</w:t>
      </w:r>
    </w:p>
    <w:p>
      <w:pPr>
        <w:pStyle w:val="ListBullet"/>
      </w:pPr>
      <w:r>
        <w:t>Schnelle Handlungsfähigkeit: Klage eingereicht, EV beantragt, Zollanzeige gestellt, alles binnen 6 Wochen nach Mandatsannahme</w:t>
      </w:r>
    </w:p>
    <w:p>
      <w:pPr>
        <w:jc w:val="left"/>
      </w:pPr>
      <w:r>
        <w:rPr>
          <w:b/>
        </w:rPr>
        <w:t>Risiken:</w:t>
      </w:r>
    </w:p>
    <w:p>
      <w:pPr>
        <w:pStyle w:val="ListBullet"/>
      </w:pPr>
      <w:r>
        <w:t>BPatG-Nichtigkeitsklage (geringe bis mittlere Erfolgschance für Beklagte, aber nicht ausschließbar)</w:t>
      </w:r>
    </w:p>
    <w:p>
      <w:pPr>
        <w:pStyle w:val="ListBullet"/>
      </w:pPr>
      <w:r>
        <w:t>Design DE 88-2026: Neuheitsrisiko durch frühe Produktoffenbarung (2018)</w:t>
      </w:r>
    </w:p>
    <w:p>
      <w:pPr>
        <w:pStyle w:val="ListBullet"/>
      </w:pPr>
      <w:r>
        <w:t>FRAND-Erklärung US-Schwesterfirma: mittelbares Risiko für Lizenzposition</w:t>
      </w:r>
    </w:p>
    <w:p>
      <w:pPr>
        <w:pStyle w:val="ListBullet"/>
      </w:pPr>
      <w:r>
        <w:t>Vollstreckung gegen TitanOrtho in Polen: EuGVVO nötig, zeitaufwändig</w:t>
      </w:r>
    </w:p>
    <w:p>
      <w:pPr>
        <w:jc w:val="left"/>
      </w:pPr>
      <w:r>
        <w:rPr>
          <w:b/>
        </w:rPr>
        <w:t>Chancen:</w:t>
      </w:r>
    </w:p>
    <w:p>
      <w:pPr>
        <w:pStyle w:val="ListBullet"/>
      </w:pPr>
      <w:r>
        <w:t>EV UPC kann schnell (bis April 2026) den deutschen Markt bereinigen</w:t>
      </w:r>
    </w:p>
    <w:p>
      <w:pPr>
        <w:pStyle w:val="ListBullet"/>
      </w:pPr>
      <w:r>
        <w:t>GeschG-Verfahren (Drostmann) stärkt Verhandlungsposition massiv</w:t>
      </w:r>
    </w:p>
    <w:p>
      <w:pPr>
        <w:pStyle w:val="ListBullet"/>
      </w:pPr>
      <w:r>
        <w:t>Grenzbeschlagnahme trifft Chinafluss und erhöht logistischen Druck auf Bochstaedt</w:t>
      </w:r>
    </w:p>
    <w:p>
      <w:pPr>
        <w:pStyle w:val="ListBullet"/>
      </w:pPr>
      <w:r>
        <w:t>Kombinierter Vergleich mit Lizenzvertrag möglich (vgl. Aktenstück 17)</w:t>
      </w:r>
    </w:p>
    <w:p/>
    <w:p>
      <w:pPr>
        <w:pStyle w:val="Heading2"/>
      </w:pPr>
      <w:r>
        <w:rPr>
          <w:rFonts w:ascii="Times New Roman" w:hAnsi="Times New Roman"/>
        </w:rPr>
        <w:t>6. Diagrammverweis</w:t>
      </w:r>
    </w:p>
    <w:p>
      <w:pPr>
        <w:jc w:val="left"/>
      </w:pPr>
      <w:r>
        <w:t>Eine visuelle Übersicht des IP-Kollisionsfelds findet sich in Anlage JPG-03 (Kollisionsschlachtfeld-Diagramm).</w:t>
      </w:r>
    </w:p>
    <w:p/>
    <w:p>
      <w:pPr>
        <w:jc w:val="left"/>
      </w:pPr>
      <w:r>
        <w:rPr>
          <w:i/>
        </w:rPr>
        <w:t>Quellen: Art. 33 UPCA (EUR-Lex); Art. 62 UPCA (EUR-Lex); § 139 PatG (dejure.org); § 14 MarkenG (dejure.org); § 6 GeschG (dejure.org); § 42 DesignG (dejure.org); VO (EU) 608/2013 (EUR-Lex).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