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Schadensersatz nach § 139 Abs. 2 PatG: Lizenzanalogie und Schadensberechnung</w:t>
      </w:r>
    </w:p>
    <w:p>
      <w:pPr>
        <w:jc w:val="left"/>
      </w:pPr>
      <w:r>
        <w:rPr>
          <w:b/>
        </w:rPr>
        <w:t>Aktenzeichen intern:</w:t>
      </w:r>
      <w:r>
        <w:t xml:space="preserve"> VM-2026-GR-001</w:t>
      </w:r>
    </w:p>
    <w:p>
      <w:pPr>
        <w:jc w:val="left"/>
      </w:pPr>
      <w:r>
        <w:rPr>
          <w:b/>
        </w:rPr>
        <w:t>Datum:</w:t>
      </w:r>
      <w:r>
        <w:t xml:space="preserve"> 22. März 2026</w:t>
      </w:r>
    </w:p>
    <w:p>
      <w:pPr>
        <w:jc w:val="left"/>
      </w:pPr>
      <w:r>
        <w:rPr>
          <w:b/>
        </w:rPr>
        <w:t>Bearbeiter:</w:t>
      </w:r>
      <w:r>
        <w:t xml:space="preserve"> RA Tobias Fehrenbach / RA Dr. Birkenhainer</w:t>
      </w:r>
    </w:p>
    <w:p>
      <w:pPr>
        <w:jc w:val="left"/>
      </w:pPr>
      <w:r>
        <w:rPr>
          <w:b/>
        </w:rPr>
        <w:t>Grundlage:</w:t>
      </w:r>
      <w:r>
        <w:t xml:space="preserve"> § 139 Abs. 2 PatG; BGH-Rechtsprechung zur Lizenzanalogie; Marktanalyse Medizintechnik 2024/2025</w:t>
      </w:r>
    </w:p>
    <w:p/>
    <w:p>
      <w:pPr>
        <w:pStyle w:val="Heading2"/>
      </w:pPr>
      <w:r>
        <w:rPr>
          <w:rFonts w:ascii="Times New Roman" w:hAnsi="Times New Roman"/>
        </w:rPr>
        <w:t>1. Schadensberechnungsmethoden nach § 139 Abs. 2 PatG</w:t>
      </w:r>
    </w:p>
    <w:p>
      <w:pPr>
        <w:jc w:val="left"/>
      </w:pPr>
      <w:r>
        <w:t>Der Patentinhaber kann gem. § 139 Abs. 2 PatG (dejure.org) Schadensersatz für vorsätzliche oder fahrlässige Patentverletzung verlangen. Die ständige Rechtsprechung des BGH erkennt drei alternative Berechnungsmethoden an (BGH X ZR 35/11 — Glasfasern, openjur.de):</w:t>
      </w:r>
    </w:p>
    <w:p>
      <w:pPr>
        <w:pStyle w:val="ListNumber"/>
      </w:pPr>
      <w:r>
        <w:rPr>
          <w:b/>
        </w:rPr>
        <w:t>Entgangener Gewinn</w:t>
      </w:r>
      <w:r>
        <w:t xml:space="preserve"> (§ 252 BGB): Der Gewinn, den die Klägerin ohne die Verletzung erzielt hätte.</w:t>
      </w:r>
    </w:p>
    <w:p>
      <w:pPr>
        <w:pStyle w:val="ListNumber"/>
      </w:pPr>
      <w:r>
        <w:rPr>
          <w:b/>
        </w:rPr>
        <w:t>Herausgabe des Verletzergewinns</w:t>
      </w:r>
      <w:r>
        <w:t>: Der Gewinn, den der Verletzer durch die Verletzung erzielt hat.</w:t>
      </w:r>
    </w:p>
    <w:p>
      <w:pPr>
        <w:pStyle w:val="ListNumber"/>
      </w:pPr>
      <w:r>
        <w:rPr>
          <w:b/>
        </w:rPr>
        <w:t>Lizenzanalogie</w:t>
      </w:r>
      <w:r>
        <w:t>: Eine angemessene Lizenzgebühr, die vernünftige Parteien bei Kenntnis der Sachlage in einem gedachten Lizenzvertrag vereinbart hätten.</w:t>
      </w:r>
    </w:p>
    <w:p>
      <w:pPr>
        <w:jc w:val="left"/>
      </w:pPr>
      <w:r>
        <w:t>Die Mandantin wird im Betragsverfahren die Methode wählen, die den höchsten Betrag ergibt. Für die Klageschrift wird zunächst die Lizenzanalogie verwendet, da sie am einfachsten zu berechnen ist und in der Regel als Mindestschaden gilt.</w:t>
      </w:r>
    </w:p>
    <w:p/>
    <w:p>
      <w:pPr>
        <w:pStyle w:val="Heading2"/>
      </w:pPr>
      <w:r>
        <w:rPr>
          <w:rFonts w:ascii="Times New Roman" w:hAnsi="Times New Roman"/>
        </w:rPr>
        <w:t>2. Lizenzanalogie: Berechnungsgrundlage</w:t>
      </w:r>
    </w:p>
    <w:p>
      <w:pPr>
        <w:pStyle w:val="Heading3"/>
      </w:pPr>
      <w:r>
        <w:rPr>
          <w:rFonts w:ascii="Times New Roman" w:hAnsi="Times New Roman"/>
        </w:rPr>
        <w:t>2.1 Umsatzbasis (Verletzungsumsatz)</w:t>
      </w:r>
    </w:p>
    <w:p>
      <w:pPr>
        <w:jc w:val="left"/>
      </w:pPr>
      <w:r>
        <w:t>Auf der Grundlage der Auskunftsansprüche und der eigenen Recherchen der Mandantin wird der Verletzungsumsatz wie folgt geschätzt:</w:t>
      </w:r>
    </w:p>
    <w:p>
      <w:pPr>
        <w:jc w:val="left"/>
      </w:pPr>
      <w:r>
        <w:rPr>
          <w:b/>
        </w:rPr>
        <w:t>Zeitraum:</w:t>
      </w:r>
      <w:r>
        <w:t xml:space="preserve"> Oktober 2024 (erster Vertriebsakt) bis Mai 2026 (vorläufiges Verfahrensende, geschätzt)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Quartal</w:t>
            </w:r>
          </w:p>
        </w:tc>
        <w:tc>
          <w:tcPr>
            <w:tcW w:type="dxa" w:w="2268"/>
          </w:tcPr>
          <w:p>
            <w:r>
              <w:rPr>
                <w:rFonts w:ascii="Times New Roman" w:hAnsi="Times New Roman"/>
                <w:b/>
                <w:sz w:val="20"/>
              </w:rPr>
              <w:t>Geschätzte Verkaufseinheiten</w:t>
            </w:r>
          </w:p>
        </w:tc>
        <w:tc>
          <w:tcPr>
            <w:tcW w:type="dxa" w:w="2268"/>
          </w:tcPr>
          <w:p>
            <w:r>
              <w:rPr>
                <w:rFonts w:ascii="Times New Roman" w:hAnsi="Times New Roman"/>
                <w:b/>
                <w:sz w:val="20"/>
              </w:rPr>
              <w:t>Durchschnittspreis Bochstaedt (EUR)</w:t>
            </w:r>
          </w:p>
        </w:tc>
        <w:tc>
          <w:tcPr>
            <w:tcW w:type="dxa" w:w="2268"/>
          </w:tcPr>
          <w:p>
            <w:r>
              <w:rPr>
                <w:rFonts w:ascii="Times New Roman" w:hAnsi="Times New Roman"/>
                <w:b/>
                <w:sz w:val="20"/>
              </w:rPr>
              <w:t>Umsatz Bochstaedt (EUR)</w:t>
            </w:r>
          </w:p>
        </w:tc>
      </w:tr>
      <w:tr>
        <w:tc>
          <w:tcPr>
            <w:tcW w:type="dxa" w:w="2268"/>
          </w:tcPr>
          <w:p>
            <w:r>
              <w:rPr>
                <w:rFonts w:ascii="Times New Roman" w:hAnsi="Times New Roman"/>
                <w:sz w:val="20"/>
              </w:rPr>
              <w:t>Q4 2024</w:t>
            </w:r>
          </w:p>
        </w:tc>
        <w:tc>
          <w:tcPr>
            <w:tcW w:type="dxa" w:w="2268"/>
          </w:tcPr>
          <w:p>
            <w:r>
              <w:rPr>
                <w:rFonts w:ascii="Times New Roman" w:hAnsi="Times New Roman"/>
                <w:sz w:val="20"/>
              </w:rPr>
              <w:t>280</w:t>
            </w:r>
          </w:p>
        </w:tc>
        <w:tc>
          <w:tcPr>
            <w:tcW w:type="dxa" w:w="2268"/>
          </w:tcPr>
          <w:p>
            <w:r>
              <w:rPr>
                <w:rFonts w:ascii="Times New Roman" w:hAnsi="Times New Roman"/>
                <w:sz w:val="20"/>
              </w:rPr>
              <w:t>2.100</w:t>
            </w:r>
          </w:p>
        </w:tc>
        <w:tc>
          <w:tcPr>
            <w:tcW w:type="dxa" w:w="2268"/>
          </w:tcPr>
          <w:p>
            <w:r>
              <w:rPr>
                <w:rFonts w:ascii="Times New Roman" w:hAnsi="Times New Roman"/>
                <w:sz w:val="20"/>
              </w:rPr>
              <w:t>588.000</w:t>
            </w:r>
          </w:p>
        </w:tc>
      </w:tr>
      <w:tr>
        <w:tc>
          <w:tcPr>
            <w:tcW w:type="dxa" w:w="2268"/>
          </w:tcPr>
          <w:p>
            <w:r>
              <w:rPr>
                <w:rFonts w:ascii="Times New Roman" w:hAnsi="Times New Roman"/>
                <w:sz w:val="20"/>
              </w:rPr>
              <w:t>Q1 2025</w:t>
            </w:r>
          </w:p>
        </w:tc>
        <w:tc>
          <w:tcPr>
            <w:tcW w:type="dxa" w:w="2268"/>
          </w:tcPr>
          <w:p>
            <w:r>
              <w:rPr>
                <w:rFonts w:ascii="Times New Roman" w:hAnsi="Times New Roman"/>
                <w:sz w:val="20"/>
              </w:rPr>
              <w:t>420</w:t>
            </w:r>
          </w:p>
        </w:tc>
        <w:tc>
          <w:tcPr>
            <w:tcW w:type="dxa" w:w="2268"/>
          </w:tcPr>
          <w:p>
            <w:r>
              <w:rPr>
                <w:rFonts w:ascii="Times New Roman" w:hAnsi="Times New Roman"/>
                <w:sz w:val="20"/>
              </w:rPr>
              <w:t>2.050</w:t>
            </w:r>
          </w:p>
        </w:tc>
        <w:tc>
          <w:tcPr>
            <w:tcW w:type="dxa" w:w="2268"/>
          </w:tcPr>
          <w:p>
            <w:r>
              <w:rPr>
                <w:rFonts w:ascii="Times New Roman" w:hAnsi="Times New Roman"/>
                <w:sz w:val="20"/>
              </w:rPr>
              <w:t>861.000</w:t>
            </w:r>
          </w:p>
        </w:tc>
      </w:tr>
      <w:tr>
        <w:tc>
          <w:tcPr>
            <w:tcW w:type="dxa" w:w="2268"/>
          </w:tcPr>
          <w:p>
            <w:r>
              <w:rPr>
                <w:rFonts w:ascii="Times New Roman" w:hAnsi="Times New Roman"/>
                <w:sz w:val="20"/>
              </w:rPr>
              <w:t>Q2 2025</w:t>
            </w:r>
          </w:p>
        </w:tc>
        <w:tc>
          <w:tcPr>
            <w:tcW w:type="dxa" w:w="2268"/>
          </w:tcPr>
          <w:p>
            <w:r>
              <w:rPr>
                <w:rFonts w:ascii="Times New Roman" w:hAnsi="Times New Roman"/>
                <w:sz w:val="20"/>
              </w:rPr>
              <w:t>530</w:t>
            </w:r>
          </w:p>
        </w:tc>
        <w:tc>
          <w:tcPr>
            <w:tcW w:type="dxa" w:w="2268"/>
          </w:tcPr>
          <w:p>
            <w:r>
              <w:rPr>
                <w:rFonts w:ascii="Times New Roman" w:hAnsi="Times New Roman"/>
                <w:sz w:val="20"/>
              </w:rPr>
              <w:t>1.980</w:t>
            </w:r>
          </w:p>
        </w:tc>
        <w:tc>
          <w:tcPr>
            <w:tcW w:type="dxa" w:w="2268"/>
          </w:tcPr>
          <w:p>
            <w:r>
              <w:rPr>
                <w:rFonts w:ascii="Times New Roman" w:hAnsi="Times New Roman"/>
                <w:sz w:val="20"/>
              </w:rPr>
              <w:t>1.049.400</w:t>
            </w:r>
          </w:p>
        </w:tc>
      </w:tr>
      <w:tr>
        <w:tc>
          <w:tcPr>
            <w:tcW w:type="dxa" w:w="2268"/>
          </w:tcPr>
          <w:p>
            <w:r>
              <w:rPr>
                <w:rFonts w:ascii="Times New Roman" w:hAnsi="Times New Roman"/>
                <w:sz w:val="20"/>
              </w:rPr>
              <w:t>Q3 2025</w:t>
            </w:r>
          </w:p>
        </w:tc>
        <w:tc>
          <w:tcPr>
            <w:tcW w:type="dxa" w:w="2268"/>
          </w:tcPr>
          <w:p>
            <w:r>
              <w:rPr>
                <w:rFonts w:ascii="Times New Roman" w:hAnsi="Times New Roman"/>
                <w:sz w:val="20"/>
              </w:rPr>
              <w:t>610</w:t>
            </w:r>
          </w:p>
        </w:tc>
        <w:tc>
          <w:tcPr>
            <w:tcW w:type="dxa" w:w="2268"/>
          </w:tcPr>
          <w:p>
            <w:r>
              <w:rPr>
                <w:rFonts w:ascii="Times New Roman" w:hAnsi="Times New Roman"/>
                <w:sz w:val="20"/>
              </w:rPr>
              <w:t>1.950</w:t>
            </w:r>
          </w:p>
        </w:tc>
        <w:tc>
          <w:tcPr>
            <w:tcW w:type="dxa" w:w="2268"/>
          </w:tcPr>
          <w:p>
            <w:r>
              <w:rPr>
                <w:rFonts w:ascii="Times New Roman" w:hAnsi="Times New Roman"/>
                <w:sz w:val="20"/>
              </w:rPr>
              <w:t>1.189.500</w:t>
            </w:r>
          </w:p>
        </w:tc>
      </w:tr>
      <w:tr>
        <w:tc>
          <w:tcPr>
            <w:tcW w:type="dxa" w:w="2268"/>
          </w:tcPr>
          <w:p>
            <w:r>
              <w:rPr>
                <w:rFonts w:ascii="Times New Roman" w:hAnsi="Times New Roman"/>
                <w:sz w:val="20"/>
              </w:rPr>
              <w:t>Q4 2025</w:t>
            </w:r>
          </w:p>
        </w:tc>
        <w:tc>
          <w:tcPr>
            <w:tcW w:type="dxa" w:w="2268"/>
          </w:tcPr>
          <w:p>
            <w:r>
              <w:rPr>
                <w:rFonts w:ascii="Times New Roman" w:hAnsi="Times New Roman"/>
                <w:sz w:val="20"/>
              </w:rPr>
              <w:t>680</w:t>
            </w:r>
          </w:p>
        </w:tc>
        <w:tc>
          <w:tcPr>
            <w:tcW w:type="dxa" w:w="2268"/>
          </w:tcPr>
          <w:p>
            <w:r>
              <w:rPr>
                <w:rFonts w:ascii="Times New Roman" w:hAnsi="Times New Roman"/>
                <w:sz w:val="20"/>
              </w:rPr>
              <w:t>1.920</w:t>
            </w:r>
          </w:p>
        </w:tc>
        <w:tc>
          <w:tcPr>
            <w:tcW w:type="dxa" w:w="2268"/>
          </w:tcPr>
          <w:p>
            <w:r>
              <w:rPr>
                <w:rFonts w:ascii="Times New Roman" w:hAnsi="Times New Roman"/>
                <w:sz w:val="20"/>
              </w:rPr>
              <w:t>1.305.600</w:t>
            </w:r>
          </w:p>
        </w:tc>
      </w:tr>
      <w:tr>
        <w:tc>
          <w:tcPr>
            <w:tcW w:type="dxa" w:w="2268"/>
          </w:tcPr>
          <w:p>
            <w:r>
              <w:rPr>
                <w:rFonts w:ascii="Times New Roman" w:hAnsi="Times New Roman"/>
                <w:sz w:val="20"/>
              </w:rPr>
              <w:t>Q1 2026</w:t>
            </w:r>
          </w:p>
        </w:tc>
        <w:tc>
          <w:tcPr>
            <w:tcW w:type="dxa" w:w="2268"/>
          </w:tcPr>
          <w:p>
            <w:r>
              <w:rPr>
                <w:rFonts w:ascii="Times New Roman" w:hAnsi="Times New Roman"/>
                <w:sz w:val="20"/>
              </w:rPr>
              <w:t>590</w:t>
            </w:r>
          </w:p>
        </w:tc>
        <w:tc>
          <w:tcPr>
            <w:tcW w:type="dxa" w:w="2268"/>
          </w:tcPr>
          <w:p>
            <w:r>
              <w:rPr>
                <w:rFonts w:ascii="Times New Roman" w:hAnsi="Times New Roman"/>
                <w:sz w:val="20"/>
              </w:rPr>
              <w:t>1.900</w:t>
            </w:r>
          </w:p>
        </w:tc>
        <w:tc>
          <w:tcPr>
            <w:tcW w:type="dxa" w:w="2268"/>
          </w:tcPr>
          <w:p>
            <w:r>
              <w:rPr>
                <w:rFonts w:ascii="Times New Roman" w:hAnsi="Times New Roman"/>
                <w:sz w:val="20"/>
              </w:rPr>
              <w:t>1.121.000</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3.110</w:t>
            </w:r>
          </w:p>
        </w:tc>
        <w:tc>
          <w:tcPr>
            <w:tcW w:type="dxa" w:w="2268"/>
          </w:tcPr>
          <w:p/>
        </w:tc>
        <w:tc>
          <w:tcPr>
            <w:tcW w:type="dxa" w:w="2268"/>
          </w:tcPr>
          <w:p>
            <w:r>
              <w:rPr>
                <w:rFonts w:ascii="Times New Roman" w:hAnsi="Times New Roman"/>
                <w:b/>
                <w:sz w:val="20"/>
              </w:rPr>
              <w:t>6.114.500</w:t>
            </w:r>
          </w:p>
        </w:tc>
      </w:tr>
    </w:tbl>
    <w:p>
      <w:pPr>
        <w:jc w:val="left"/>
      </w:pPr>
      <w:r>
        <w:t>Quelle der Schätzung: Brancheninformationsdienst, Auskunftsanfragen bei drei Kliniken (nicht offiziell), Preisliste Bochstaedt (Anlage A-22). Die genauen Zahlen werden durch das Auskunftsverfahren gem. § 140b PatG ermittelt.</w:t>
      </w:r>
    </w:p>
    <w:p>
      <w:pPr>
        <w:jc w:val="left"/>
      </w:pPr>
      <w:r>
        <w:t>Hinweis: TitanOrtho-Umsatz (Herstellerseite, Erlöse aus Lieferung an Bochstaedt) wird auf ca. 900 EUR/Einheit geschätzt (Einfuhrpreis, CE-Dokumenation), d.h. ca. 2.799.000 EUR Hersteller-Umsatz im selben Zeitraum.</w:t>
      </w:r>
    </w:p>
    <w:p>
      <w:pPr>
        <w:pStyle w:val="Heading3"/>
      </w:pPr>
      <w:r>
        <w:rPr>
          <w:rFonts w:ascii="Times New Roman" w:hAnsi="Times New Roman"/>
        </w:rPr>
        <w:t>2.2 Lizenzrate (Branchenüblicher Satz)</w:t>
      </w:r>
    </w:p>
    <w:p>
      <w:pPr>
        <w:jc w:val="left"/>
      </w:pPr>
      <w:r>
        <w:t>Die angemessene Lizenzgebühr für ein Patent auf ein Medizinprodukt der Klasse IIb mit hohem technischen Wert und bereits belegter Marktrelevanz beträgt nach Marktüblichkeit:</w:t>
      </w:r>
    </w:p>
    <w:p>
      <w:pPr>
        <w:pStyle w:val="ListBullet"/>
      </w:pPr>
      <w:r>
        <w:t>Bandbreite in der Medizintechnik: 3 % bis 8 % vom Nettoumsatz des Lizenznehmers (vgl. IP Value Report Medical Devices 2024, Kroll LLC; Licensing International Annual Report 2024)</w:t>
      </w:r>
    </w:p>
    <w:p>
      <w:pPr>
        <w:pStyle w:val="ListBullet"/>
      </w:pPr>
      <w:r>
        <w:t>Für das vorliegende Patent: 5,5 % (Begründung: 18 Jahre Entwicklung, starke Marktstellung, kein Konkurrenzpatent; Schätzung auf Basis von Vergleichslizenzverträgen im Orthopädie-Implantat-Sektor)</w:t>
      </w:r>
    </w:p>
    <w:p>
      <w:pPr>
        <w:pStyle w:val="ListBullet"/>
      </w:pPr>
      <w:r>
        <w:t>Für die Markennutzung: gesondert 1,0 % (Markenlizenzanalogie)</w:t>
      </w:r>
    </w:p>
    <w:p>
      <w:pPr>
        <w:pStyle w:val="Heading3"/>
      </w:pPr>
      <w:r>
        <w:rPr>
          <w:rFonts w:ascii="Times New Roman" w:hAnsi="Times New Roman"/>
        </w:rPr>
        <w:t>2.3 Berechnung Lizenzanalogie</w:t>
      </w:r>
    </w:p>
    <w:p>
      <w:pPr>
        <w:jc w:val="left"/>
      </w:pPr>
      <w:r>
        <w:rPr>
          <w:b/>
        </w:rPr>
        <w:t>Patentlizenzanalogie:</w:t>
      </w:r>
    </w:p>
    <w:p>
      <w:pPr>
        <w:jc w:val="left"/>
      </w:pPr>
      <w:r>
        <w:t xml:space="preserve">Verletzungsumsatz Bochstaedt (Importeur/Inverkehrbringer): 6.114.500 EUR × 5,5 % = </w:t>
      </w:r>
      <w:r>
        <w:rPr>
          <w:b/>
        </w:rPr>
        <w:t>336.298 EUR</w:t>
      </w:r>
    </w:p>
    <w:p>
      <w:pPr>
        <w:jc w:val="left"/>
      </w:pPr>
      <w:r>
        <w:t xml:space="preserve">Plus: TitanOrtho (Hersteller): 2.799.000 EUR × 5,5 % = </w:t>
      </w:r>
      <w:r>
        <w:rPr>
          <w:b/>
        </w:rPr>
        <w:t>153.945 EUR</w:t>
      </w:r>
    </w:p>
    <w:p>
      <w:pPr>
        <w:jc w:val="left"/>
      </w:pPr>
      <w:r>
        <w:rPr>
          <w:b/>
        </w:rPr>
        <w:t>Zwischensumme Patent:</w:t>
      </w:r>
      <w:r>
        <w:t xml:space="preserve"> ca. </w:t>
      </w:r>
      <w:r>
        <w:rPr>
          <w:b/>
        </w:rPr>
        <w:t>490.000 EUR</w:t>
      </w:r>
    </w:p>
    <w:p>
      <w:pPr>
        <w:jc w:val="left"/>
      </w:pPr>
      <w:r>
        <w:rPr>
          <w:b/>
        </w:rPr>
        <w:t>Markenlizenzanalogie (ergänzend):</w:t>
      </w:r>
    </w:p>
    <w:p>
      <w:pPr>
        <w:jc w:val="left"/>
      </w:pPr>
      <w:r>
        <w:t xml:space="preserve">Verletzungsumsatz unter dem Zeichen "TitanFlex Pro": 6.114.500 EUR × 1,0 % = </w:t>
      </w:r>
      <w:r>
        <w:rPr>
          <w:b/>
        </w:rPr>
        <w:t>61.145 EUR</w:t>
      </w:r>
    </w:p>
    <w:p>
      <w:pPr>
        <w:jc w:val="left"/>
      </w:pPr>
      <w:r>
        <w:rPr>
          <w:b/>
        </w:rPr>
        <w:t>Gesamtschaden Lizenzanalogie (Patent + Marke):</w:t>
      </w:r>
      <w:r>
        <w:t xml:space="preserve"> ca. </w:t>
      </w:r>
      <w:r>
        <w:rPr>
          <w:b/>
        </w:rPr>
        <w:t>551.000 EUR</w:t>
      </w:r>
      <w:r>
        <w:t xml:space="preserve"> (für den Verletzungszeitraum bis ca. Mai 2026)</w:t>
      </w:r>
    </w:p>
    <w:p/>
    <w:p>
      <w:pPr>
        <w:pStyle w:val="Heading2"/>
      </w:pPr>
      <w:r>
        <w:rPr>
          <w:rFonts w:ascii="Times New Roman" w:hAnsi="Times New Roman"/>
        </w:rPr>
        <w:t>3. Alternative: Entgangener Gewinn</w:t>
      </w:r>
    </w:p>
    <w:p>
      <w:pPr>
        <w:jc w:val="left"/>
      </w:pPr>
      <w:r>
        <w:t>Für den Fall, dass im Betragsverfahren die Methode des entgangenen Gewinns gewählt wird:</w:t>
      </w:r>
    </w:p>
    <w:p>
      <w:pPr>
        <w:jc w:val="left"/>
      </w:pPr>
      <w:r>
        <w:t>Vellbruck hätte ohne die Verletzung voraussichtlich einen erheblichen Teil der Verkäufe von TitanFlex Pro selbst getätigt. Annahme: 60 % der 3.110 Einheiten wären an Vellbruck gegangen (konservative Schätzung; restliche 40 % an andere Wettbewerber).</w:t>
      </w:r>
    </w:p>
    <w:p>
      <w:pPr>
        <w:jc w:val="left"/>
      </w:pPr>
      <w:r>
        <w:t>Entgangener Umsatz Vellbruck: 3.110 × 60 % = 1.866 Einheiten × 2.800 EUR = 5.224.800 EUR</w:t>
      </w:r>
    </w:p>
    <w:p>
      <w:pPr>
        <w:jc w:val="left"/>
      </w:pPr>
      <w:r>
        <w:t xml:space="preserve">Vellbruck-Deckungsbeitrag (geschätzt ca. 35 %): 5.224.800 × 35 % = </w:t>
      </w:r>
      <w:r>
        <w:rPr>
          <w:b/>
        </w:rPr>
        <w:t>1.828.680 EUR</w:t>
      </w:r>
    </w:p>
    <w:p>
      <w:pPr>
        <w:jc w:val="left"/>
      </w:pPr>
      <w:r>
        <w:t>Die Methode des entgangenen Gewinns ergibt damit einen ca. dreimal höheren Schaden als die Lizenzanalogie. Im Betragsverfahren wird daher primär auf entgangenen Gewinn gesetzt; Lizenzanalogie als Untergrenze.</w:t>
      </w:r>
    </w:p>
    <w:p/>
    <w:p>
      <w:pPr>
        <w:pStyle w:val="Heading2"/>
      </w:pPr>
      <w:r>
        <w:rPr>
          <w:rFonts w:ascii="Times New Roman" w:hAnsi="Times New Roman"/>
        </w:rPr>
        <w:t>4. Verzugszinsen und vorprozessuale Kosten</w:t>
      </w:r>
    </w:p>
    <w:p>
      <w:pPr>
        <w:jc w:val="left"/>
      </w:pPr>
      <w:r>
        <w:t>Auf den Schadensersatzbetrag fallen Verzugszinsen gem. § 288 Abs. 1 BGB i.V.m. § 286 BGB ab Kenntnis der Verletzungshandlung (Oktober 2024 = erster Vertriebsakt) an. Zinssatz: 5 Prozentpunkte über dem Basiszinssatz.</w:t>
      </w:r>
    </w:p>
    <w:p>
      <w:pPr>
        <w:jc w:val="left"/>
      </w:pPr>
      <w:r>
        <w:t>Vorprozessuale Kosten der Abmahnung (Marke): 2.840,70 EUR netto (Streitwert 500.000 EUR, 1,3-fache Geschäftsgebühr RVG Nr. 2300).</w:t>
      </w:r>
    </w:p>
    <w:p/>
    <w:p>
      <w:pPr>
        <w:pStyle w:val="Heading2"/>
      </w:pPr>
      <w:r>
        <w:rPr>
          <w:rFonts w:ascii="Times New Roman" w:hAnsi="Times New Roman"/>
        </w:rPr>
        <w:t>5. Schadensersatztabelle (Gesamtschau)</w:t>
      </w:r>
    </w:p>
    <w:p>
      <w:pPr>
        <w:jc w:val="left"/>
      </w:pPr>
      <w:r>
        <w:t>Eine detaillierte Schadensberechnungstabelle für den Schriftsatz und die Kommunikation mit dem Gericht findet sich in der XLSX-Anlage (schadensberechnung_lizenzanalogie_p139.xlsx).</w:t>
      </w:r>
    </w:p>
    <w:p/>
    <w:p>
      <w:pPr>
        <w:jc w:val="left"/>
      </w:pPr>
      <w:r>
        <w:rPr>
          <w:i/>
        </w:rPr>
        <w:t>Quellen: § 139 Abs. 2 PatG (dejure.org); § 140b PatG (dejure.org); § 252 BGB (dejure.org); § 288 BGB (dejure.org); BGH X ZR 35/11 (openjur.de); § 14 Abs. 6 MarkenG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