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Patentrechtliche Unterlassung nach § 139 Abs. 1 PatG: Klageantragsformulierung</w:t>
      </w:r>
    </w:p>
    <w:p>
      <w:pPr>
        <w:jc w:val="left"/>
      </w:pPr>
      <w:r>
        <w:rPr>
          <w:b/>
        </w:rPr>
        <w:t>Aktenzeichen intern:</w:t>
      </w:r>
      <w:r>
        <w:t xml:space="preserve"> VM-2026-GR-001</w:t>
      </w:r>
    </w:p>
    <w:p>
      <w:pPr>
        <w:jc w:val="left"/>
      </w:pPr>
      <w:r>
        <w:rPr>
          <w:b/>
        </w:rPr>
        <w:t>Datum:</w:t>
      </w:r>
      <w:r>
        <w:t xml:space="preserve"> 28. Januar 2026</w:t>
      </w:r>
    </w:p>
    <w:p>
      <w:pPr>
        <w:jc w:val="left"/>
      </w:pPr>
      <w:r>
        <w:rPr>
          <w:b/>
        </w:rPr>
        <w:t>Bearbeiter:</w:t>
      </w:r>
      <w:r>
        <w:t xml:space="preserve"> RA Dr. Rademakers / RA Dr. Birkenhainer</w:t>
      </w:r>
    </w:p>
    <w:p>
      <w:pPr>
        <w:jc w:val="left"/>
      </w:pPr>
      <w:r>
        <w:rPr>
          <w:b/>
        </w:rPr>
        <w:t>Verfahren:</w:t>
      </w:r>
      <w:r>
        <w:t xml:space="preserve"> UPC ACT_0188/2026; ergänzend: BPatG 4 Ni 18/26 (defensiv)</w:t>
      </w:r>
    </w:p>
    <w:p/>
    <w:p>
      <w:pPr>
        <w:pStyle w:val="Heading2"/>
      </w:pPr>
      <w:r>
        <w:rPr>
          <w:rFonts w:ascii="Times New Roman" w:hAnsi="Times New Roman"/>
        </w:rPr>
        <w:t>1. Unterlassungsanspruch nach § 139 Abs. 1 PatG</w:t>
      </w:r>
    </w:p>
    <w:p>
      <w:pPr>
        <w:jc w:val="left"/>
      </w:pPr>
      <w:r>
        <w:t>Der Unterlassungsanspruch ist der zentrale Rechtsbehelf des Patentinhabers. Gem. § 139 Abs. 1 PatG (dejure.org) kann der Patentinhaber bei einer Verletzung Unterlassung verlangen. Der Anspruch ist verschuldensunabhängig — er entsteht allein durch die widerrechtliche Benutzungshandlung (BGH X ZR 165/05 — Haubenstretchautomat, openjur.de). Fahrlässigkeit oder Vorsatz sind nur für den Schadensersatzanspruch (§ 139 Abs. 2 PatG) relevant.</w:t>
      </w:r>
    </w:p>
    <w:p>
      <w:pPr>
        <w:jc w:val="left"/>
      </w:pPr>
      <w:r>
        <w:t>Nach Art. 25 i.V.m. Art. 62 UPCA gilt vor dem UPC derselbe materielle Standard; der UPC wendet nationales Patentrecht des Verletzungsorts an (Art. 24 UPCA). Im vorliegenden Fall ist das deutsche Recht anwendbar.</w:t>
      </w:r>
    </w:p>
    <w:p/>
    <w:p>
      <w:pPr>
        <w:pStyle w:val="Heading2"/>
      </w:pPr>
      <w:r>
        <w:rPr>
          <w:rFonts w:ascii="Times New Roman" w:hAnsi="Times New Roman"/>
        </w:rPr>
        <w:t>2. Formulierung des Unterlassungsantrags</w:t>
      </w:r>
    </w:p>
    <w:p>
      <w:pPr>
        <w:jc w:val="left"/>
      </w:pPr>
      <w:r>
        <w:t>Der Unterlassungsantrag muss gemäß der Anforderung des Bundesgerichtshofs (BGH) hinreichend bestimmt i.S.d. § 253 Abs. 2 Nr. 2 ZPO (dejure.org) sein, um vollstreckbar zu sein. Gleichzeitig darf er nicht so eng gefasst sein, dass er umgangen werden kann.</w:t>
      </w:r>
    </w:p>
    <w:p>
      <w:pPr>
        <w:pStyle w:val="Heading3"/>
      </w:pPr>
      <w:r>
        <w:rPr>
          <w:rFonts w:ascii="Times New Roman" w:hAnsi="Times New Roman"/>
        </w:rPr>
        <w:t>2.1 Hauptantrag (wortsinngemäße Verletzung)</w:t>
      </w:r>
    </w:p>
    <w:p>
      <w:pPr>
        <w:jc w:val="left"/>
      </w:pPr>
      <w:r>
        <w:rPr>
          <w:i/>
        </w:rPr>
        <w:t>Den Beklagten wird es — unter Androhung eines Ordnungsgeldes von bis zu 250.000 EUR je Zuwiderhandlung oder Ordnungshaft bis zu sechs Monaten — verboten,</w:t>
      </w:r>
    </w:p>
    <w:p>
      <w:pPr>
        <w:jc w:val="left"/>
      </w:pPr>
      <w:r>
        <w:rPr>
          <w:i/>
        </w:rPr>
        <w:t>Schaftimplantate für Hüftendoprothesen in der Bundesrepublik Deutschland herzustellen (Beklagte zu 1), anzubieten, in Verkehr zu bringen, zu gebrauchen oder zu den genannten Zwecken einzuführen oder zu besitzen,</w:t>
      </w:r>
    </w:p>
    <w:p>
      <w:pPr>
        <w:jc w:val="left"/>
      </w:pPr>
      <w:r>
        <w:rPr>
          <w:i/>
        </w:rPr>
        <w:t>die</w:t>
      </w:r>
    </w:p>
    <w:p>
      <w:pPr>
        <w:jc w:val="left"/>
      </w:pPr>
      <w:r>
        <w:rPr>
          <w:i/>
        </w:rPr>
        <w:t>(a) einen länglichen Schaftkörper aus einer Titanlegierung aufweisen, der einen proximalen Abschnitt und einen distalen Abschnitt aufweist,</w:t>
      </w:r>
    </w:p>
    <w:p>
      <w:pPr>
        <w:jc w:val="left"/>
      </w:pPr>
      <w:r>
        <w:rPr>
          <w:i/>
        </w:rPr>
        <w:t>(b) eine an dem proximalen Abschnitt ausgebildete poröse Oberflächenstruktur mit einer Porosität im Bereich von 65 % bis 75 % aufweisen,</w:t>
      </w:r>
    </w:p>
    <w:p>
      <w:pPr>
        <w:jc w:val="left"/>
      </w:pPr>
      <w:r>
        <w:rPr>
          <w:i/>
        </w:rPr>
        <w:t>(c) eine mittlere Porengröße der porösen Oberflächenstruktur im Bereich von 400 µm bis 600 µm aufweisen,</w:t>
      </w:r>
    </w:p>
    <w:p>
      <w:pPr>
        <w:jc w:val="left"/>
      </w:pPr>
      <w:r>
        <w:rPr>
          <w:i/>
        </w:rPr>
        <w:t>(d) zumindest zwei seitlich angeordnete Stützrippen im distalen Abschnitt aufweisen, die jeweils einen Neigungswinkel von 8° bis 15° zur Längsachse des Schaftkörpers aufweisen, und</w:t>
      </w:r>
    </w:p>
    <w:p>
      <w:pPr>
        <w:jc w:val="left"/>
      </w:pPr>
      <w:r>
        <w:rPr>
          <w:i/>
        </w:rPr>
        <w:t>(e) bei denen die poröse Oberflächenstruktur durch selektives Lasersintern hergestellt ist,</w:t>
      </w:r>
    </w:p>
    <w:p>
      <w:pPr>
        <w:jc w:val="left"/>
      </w:pPr>
      <w:r>
        <w:rPr>
          <w:i/>
        </w:rPr>
        <w:t>und zwar insbesondere das Produkt "TitanFlex Pro" der Beklagten zu 1 (CE-Zertifikat Nr. DE/CA08/0044/2024).</w:t>
      </w:r>
    </w:p>
    <w:p>
      <w:pPr>
        <w:pStyle w:val="Heading3"/>
      </w:pPr>
      <w:r>
        <w:rPr>
          <w:rFonts w:ascii="Times New Roman" w:hAnsi="Times New Roman"/>
        </w:rPr>
        <w:t>2.2 Hilfsantrag (produktbezogen, engere Fassung)</w:t>
      </w:r>
    </w:p>
    <w:p>
      <w:pPr>
        <w:jc w:val="left"/>
      </w:pPr>
      <w:r>
        <w:t>Für den Fall, dass das Gericht den Hauptantrag für zu weit gefasst erachtet:</w:t>
      </w:r>
    </w:p>
    <w:p>
      <w:pPr>
        <w:jc w:val="left"/>
      </w:pPr>
      <w:r>
        <w:rPr>
          <w:i/>
        </w:rPr>
        <w:t>Den Beklagten wird es verboten, das Produkt "TitanFlex Pro" der Beklagten zu 1 (CE-Zertifikat Nr. DE/CA08/0044/2024) in der Bundesrepublik Deutschland herzustellen, anzubieten, in Verkehr zu bringen, zu gebrauchen oder zu den genannten Zwecken einzuführen oder zu besitzen.</w:t>
      </w:r>
    </w:p>
    <w:p/>
    <w:p>
      <w:pPr>
        <w:pStyle w:val="Heading2"/>
      </w:pPr>
      <w:r>
        <w:rPr>
          <w:rFonts w:ascii="Times New Roman" w:hAnsi="Times New Roman"/>
        </w:rPr>
        <w:t>3. Vollstreckung des Unterlassungsanspruchs</w:t>
      </w:r>
    </w:p>
    <w:p>
      <w:pPr>
        <w:pStyle w:val="Heading3"/>
      </w:pPr>
      <w:r>
        <w:rPr>
          <w:rFonts w:ascii="Times New Roman" w:hAnsi="Times New Roman"/>
        </w:rPr>
        <w:t>3.1 Vollstreckungsmechanismus</w:t>
      </w:r>
    </w:p>
    <w:p>
      <w:pPr>
        <w:jc w:val="left"/>
      </w:pPr>
      <w:r>
        <w:t>Die Vollstreckung des Unterlassungsanspruchs erfolgt gem. § 890 ZPO (dejure.org) durch Verhängung von Ordnungsgeld durch das Vollstreckungsgericht (hier: UPC, da Art. 82 UPCA die Vollstreckung der UPC-Entscheidungen den nationalen Behörden überträgt). Für deutsche Vollstreckungsmaßnahmen gilt § 890 ZPO entsprechend.</w:t>
      </w:r>
    </w:p>
    <w:p>
      <w:pPr>
        <w:jc w:val="left"/>
      </w:pPr>
      <w:r>
        <w:t>Das Ordnungsgeld von bis zu 250.000 EUR pro Zuwiderhandlung (§ 890 Abs. 1 ZPO) ist als empfindliche Sanktion kalkuliert. Bei hochpreisigen Medizinprodukten (Implantatpreis 1.900–2.800 EUR/Einheit) würde eine einzige Lieferung den Verletzer wirtschaftlich treffen.</w:t>
      </w:r>
    </w:p>
    <w:p>
      <w:pPr>
        <w:pStyle w:val="Heading3"/>
      </w:pPr>
      <w:r>
        <w:rPr>
          <w:rFonts w:ascii="Times New Roman" w:hAnsi="Times New Roman"/>
        </w:rPr>
        <w:t>3.2 Durchsetzung gegen TitanOrtho (polnische Beklagte)</w:t>
      </w:r>
    </w:p>
    <w:p>
      <w:pPr>
        <w:jc w:val="left"/>
      </w:pPr>
      <w:r>
        <w:t>Die Vollstreckung des UPC-Urteils gegen TitanOrtho Sp. z o.o. in Polen erfolgt gem. Art. 82 UPCA i.V.m. der Verordnung (EU) 1215/2012 (EuGVVO, dejure.org/EUR-Lex). Polen ist Mitglied des UPCA; die Vollstreckung einer UPC-Entscheidung in Polen bedarf keines gesonderten Exequatur-Verfahrens (Art. 82 Abs. 3 UPCA). Die zuständige polnische Vollstreckungsbehörde ist das Komornik (Gerichtsvollzieher) am Sitz von TitanOrtho (Wroclaw).</w:t>
      </w:r>
    </w:p>
    <w:p/>
    <w:p>
      <w:pPr>
        <w:pStyle w:val="Heading2"/>
      </w:pPr>
      <w:r>
        <w:rPr>
          <w:rFonts w:ascii="Times New Roman" w:hAnsi="Times New Roman"/>
        </w:rPr>
        <w:t>4. Umfang der Unterlassungspflicht — Handlungen Dritter</w:t>
      </w:r>
    </w:p>
    <w:p>
      <w:pPr>
        <w:jc w:val="left"/>
      </w:pPr>
      <w:r>
        <w:t>Die Unterlassungspflicht erfasst nicht nur eigene Handlungen des Verletzers, sondern auch Handlungen, auf die er einen Einfluss hat (§ 14 Abs. 7 MarkenG analog auf Patent übertragen; vgl. BGH X ZR 29/07 — Rottmannsdorfer Straße, openjur.de). Bochstaedt muss daher nicht nur eigene Verkäufe einstellen, sondern auch dafür sorgen, dass von ihm belieferte Kliniken keine weiteren TitanFlex Pro-Implantate einsetzen. Diese extensive Auslegung ist im Klageantrag in einem Zusatz klarzustellen.</w:t>
      </w:r>
    </w:p>
    <w:p/>
    <w:p>
      <w:pPr>
        <w:pStyle w:val="Heading2"/>
      </w:pPr>
      <w:r>
        <w:rPr>
          <w:rFonts w:ascii="Times New Roman" w:hAnsi="Times New Roman"/>
        </w:rPr>
        <w:t>5. Ausnahmen vom Unterlassungsanspruch</w:t>
      </w:r>
    </w:p>
    <w:p>
      <w:pPr>
        <w:pStyle w:val="Heading3"/>
      </w:pPr>
      <w:r>
        <w:rPr>
          <w:rFonts w:ascii="Times New Roman" w:hAnsi="Times New Roman"/>
        </w:rPr>
        <w:t>5.1 Vorbenutzungsrecht (§ 12 PatG)</w:t>
      </w:r>
    </w:p>
    <w:p>
      <w:pPr>
        <w:jc w:val="left"/>
      </w:pPr>
      <w:r>
        <w:t>Ein Vorbenutzungsrecht nach § 12 PatG (dejure.org) scheidet aus: TitanOrtho wurde erst 2019 gegründet; der Anmeldetag von EP 3 218 922 B1 ist der 25. August 2016. TitanOrtho kann keine Vorbenutzung vor dem Prioritätstag nachweisen.</w:t>
      </w:r>
    </w:p>
    <w:p>
      <w:pPr>
        <w:pStyle w:val="Heading3"/>
      </w:pPr>
      <w:r>
        <w:rPr>
          <w:rFonts w:ascii="Times New Roman" w:hAnsi="Times New Roman"/>
        </w:rPr>
        <w:t>5.2 Nichtgewerbliche Nutzung (§ 11 Nr. 1 PatG)</w:t>
      </w:r>
    </w:p>
    <w:p>
      <w:pPr>
        <w:jc w:val="left"/>
      </w:pPr>
      <w:r>
        <w:t>Entfällt: Der Vertrieb an Kliniken ist gewerbliche Nutzung.</w:t>
      </w:r>
    </w:p>
    <w:p>
      <w:pPr>
        <w:pStyle w:val="Heading3"/>
      </w:pPr>
      <w:r>
        <w:rPr>
          <w:rFonts w:ascii="Times New Roman" w:hAnsi="Times New Roman"/>
        </w:rPr>
        <w:t>5.3 Zwangslizenz (§ 24 PatG)</w:t>
      </w:r>
    </w:p>
    <w:p>
      <w:pPr>
        <w:jc w:val="left"/>
      </w:pPr>
      <w:r>
        <w:t>Ein Zwangslizenzantrag der Beklagten ist theoretisch denkbar, aber für die Praxis des vorliegenden Verfahrens irrelevant: Die Voraussetzungen des § 24 PatG (dejure.org) — öffentliches Interesse und gescheiterte Lizenzverhandlungen — liegen nicht vor. TitanOrtho hat keine Lizenzanfrage an Vellbruck gestellt.</w:t>
      </w:r>
    </w:p>
    <w:p/>
    <w:p>
      <w:pPr>
        <w:pStyle w:val="Heading2"/>
      </w:pPr>
      <w:r>
        <w:rPr>
          <w:rFonts w:ascii="Times New Roman" w:hAnsi="Times New Roman"/>
        </w:rPr>
        <w:t>6. Kombination mit Vernichtungs- und Rückrufanspruch</w:t>
      </w:r>
    </w:p>
    <w:p>
      <w:pPr>
        <w:jc w:val="left"/>
      </w:pPr>
      <w:r>
        <w:t>Neben dem Unterlassungsanspruch werden folgende Annexansprüche geltend gemacht:</w:t>
      </w:r>
    </w:p>
    <w:p>
      <w:pPr>
        <w:pStyle w:val="ListBullet"/>
      </w:pPr>
      <w:r>
        <w:rPr>
          <w:b/>
        </w:rPr>
        <w:t>Vernichtung:</w:t>
      </w:r>
      <w:r>
        <w:t xml:space="preserve"> § 140a Abs. 1 PatG (dejure.org): Vernichtung aller auf Lager befindlichen TitanFlex Pro-Implantate bei der Beklagten zu 2</w:t>
      </w:r>
    </w:p>
    <w:p>
      <w:pPr>
        <w:pStyle w:val="ListBullet"/>
      </w:pPr>
      <w:r>
        <w:rPr>
          <w:b/>
        </w:rPr>
        <w:t>Rückruf:</w:t>
      </w:r>
      <w:r>
        <w:t xml:space="preserve"> § 140a Abs. 3 PatG (dejure.org): Rückruf bereits ausgelieferter, aber noch nicht implantierter Einheiten aus dem Handel. Achtung: Der Rückruf implantierter Einheiten ist aus medizinischen Gründen ausgeschlossen und nicht beantragt (ein Rückrufanspruch aus dem Körper des Patienten wäre unverhältnismäßig i.S.d. § 140a Abs. 4 PatG).</w:t>
      </w:r>
    </w:p>
    <w:p/>
    <w:p>
      <w:pPr>
        <w:jc w:val="left"/>
      </w:pPr>
      <w:r>
        <w:rPr>
          <w:i/>
        </w:rPr>
        <w:t>Quellen: § 139 Abs. 1 PatG (dejure.org); § 140a PatG (dejure.org); § 12 PatG (dejure.org); § 24 PatG (dejure.org); § 253 ZPO (dejure.org); § 890 ZPO (dejure.org); Art. 25, 82 UPCA (EUR-Lex); BGH X ZR 165/05 (openjur.de); BGH X ZR 29/07 (openjur.de).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