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 Marktrückruf und Vernichtung nach § 140a PatG</w:t>
      </w:r>
    </w:p>
    <w:p>
      <w:pPr>
        <w:jc w:val="left"/>
      </w:pPr>
      <w:r>
        <w:rPr>
          <w:b/>
        </w:rPr>
        <w:t>Aktenzeichen intern:</w:t>
      </w:r>
      <w:r>
        <w:t xml:space="preserve"> VM-2026-GR-001</w:t>
      </w:r>
    </w:p>
    <w:p>
      <w:pPr>
        <w:jc w:val="left"/>
      </w:pPr>
      <w:r>
        <w:rPr>
          <w:b/>
        </w:rPr>
        <w:t>Datum:</w:t>
      </w:r>
      <w:r>
        <w:t xml:space="preserve"> 01. April 2026</w:t>
      </w:r>
    </w:p>
    <w:p>
      <w:pPr>
        <w:jc w:val="left"/>
      </w:pPr>
      <w:r>
        <w:rPr>
          <w:b/>
        </w:rPr>
        <w:t>Bearbeiter:</w:t>
      </w:r>
      <w:r>
        <w:t xml:space="preserve"> RA Tobias Fehrenbach / RA Dr. Birkenhainer</w:t>
      </w:r>
    </w:p>
    <w:p/>
    <w:p>
      <w:pPr>
        <w:pStyle w:val="Heading2"/>
      </w:pPr>
      <w:r>
        <w:rPr>
          <w:rFonts w:ascii="Times New Roman" w:hAnsi="Times New Roman"/>
        </w:rPr>
        <w:t>1. Anspruchsgrundlagen</w:t>
      </w:r>
    </w:p>
    <w:p>
      <w:pPr>
        <w:pStyle w:val="Heading3"/>
      </w:pPr>
      <w:r>
        <w:rPr>
          <w:rFonts w:ascii="Times New Roman" w:hAnsi="Times New Roman"/>
        </w:rPr>
        <w:t>1.1 Vernichtungsanspruch § 140a Abs. 1 PatG</w:t>
      </w:r>
    </w:p>
    <w:p>
      <w:pPr>
        <w:jc w:val="left"/>
      </w:pPr>
      <w:r>
        <w:t>Gem. § 140a Abs. 1 PatG (dejure.org) kann der Verletzte verlangen, dass patentverletzende Erzeugnisse, die im Besitz oder Eigentum des Verletzers stehen, vernichtet werden. Der Anspruch entsteht verschuldensunabhängig mit der Verletzung; Vorsatz oder Fahrlässigkeit sind nicht erforderlich.</w:t>
      </w:r>
    </w:p>
    <w:p>
      <w:pPr>
        <w:jc w:val="left"/>
      </w:pPr>
      <w:r>
        <w:t>Voraussetzungen:</w:t>
      </w:r>
    </w:p>
    <w:p>
      <w:pPr>
        <w:pStyle w:val="ListNumber"/>
      </w:pPr>
      <w:r>
        <w:t>Patentverletzung (hier: wortsinngemäß belegt, vgl. Aktenstück 03)</w:t>
      </w:r>
    </w:p>
    <w:p>
      <w:pPr>
        <w:pStyle w:val="ListNumber"/>
      </w:pPr>
      <w:r>
        <w:t>Besitz oder Eigentum des Verletzers an den verletzenden Erzeugnissen</w:t>
      </w:r>
    </w:p>
    <w:p>
      <w:pPr>
        <w:pStyle w:val="ListNumber"/>
      </w:pPr>
      <w:r>
        <w:t>Verhältnismäßigkeit (§ 140a Abs. 4 PatG: Vernichtung darf nicht unverhältnismäßig sein)</w:t>
      </w:r>
    </w:p>
    <w:p>
      <w:pPr>
        <w:pStyle w:val="Heading3"/>
      </w:pPr>
      <w:r>
        <w:rPr>
          <w:rFonts w:ascii="Times New Roman" w:hAnsi="Times New Roman"/>
        </w:rPr>
        <w:t>1.2 Rückrufanspruch § 140a Abs. 3 PatG</w:t>
      </w:r>
    </w:p>
    <w:p>
      <w:pPr>
        <w:jc w:val="left"/>
      </w:pPr>
      <w:r>
        <w:t>§ 140a Abs. 3 PatG (dejure.org) gewährt einen Anspruch auf Rückruf der verletzenden Erzeugnisse aus den Vertriebswegen. Erfasst sind Erzeugnisse, die vom Verletzer an Dritte (Kliniken, Händler) ausgeliefert wurden, aber noch nicht endgültig verwendet worden sind.</w:t>
      </w:r>
    </w:p>
    <w:p>
      <w:pPr>
        <w:jc w:val="left"/>
      </w:pPr>
      <w:r>
        <w:rPr>
          <w:b/>
        </w:rPr>
        <w:t>Einschränkung bei Medizinprodukten:</w:t>
      </w:r>
      <w:r>
        <w:t xml:space="preserve"> Bereits implantierte Hüftschäfte sind aus dem Körper von Patienten nicht rückzurufen (§ 140a Abs. 4 PatG: Unverhältnismäßigkeit, wenn die Durchsetzung zu unverhältnismäßigen wirtschaftlichen oder sozialen Schäden führen würde; vgl. auch Art. 12 Abs. 2 UPCA). Patientensicherheit hat absoluten Vorrang. Der Rückrufanspruch beschränkt sich daher auf:</w:t>
      </w:r>
    </w:p>
    <w:p>
      <w:pPr>
        <w:pStyle w:val="ListBullet"/>
      </w:pPr>
      <w:r>
        <w:t>Bei Kliniken noch auf Lager liegende, aber noch nicht implantierte Einheiten</w:t>
      </w:r>
    </w:p>
    <w:p>
      <w:pPr>
        <w:pStyle w:val="ListBullet"/>
      </w:pPr>
      <w:r>
        <w:t>Rücksendung an Bochstaedt MedSupply OHG zur dortigen Vernichtung</w:t>
      </w:r>
    </w:p>
    <w:p/>
    <w:p>
      <w:pPr>
        <w:pStyle w:val="Heading2"/>
      </w:pPr>
      <w:r>
        <w:rPr>
          <w:rFonts w:ascii="Times New Roman" w:hAnsi="Times New Roman"/>
        </w:rPr>
        <w:t>2. Inventar der zu vernichtenden Waren</w:t>
      </w:r>
    </w:p>
    <w:p>
      <w:pPr>
        <w:pStyle w:val="Heading3"/>
      </w:pPr>
      <w:r>
        <w:rPr>
          <w:rFonts w:ascii="Times New Roman" w:hAnsi="Times New Roman"/>
        </w:rPr>
        <w:t>2.1 Lagerbestand Bochstaedt MedSupply OHG (Aalen)</w:t>
      </w:r>
    </w:p>
    <w:p>
      <w:pPr>
        <w:jc w:val="left"/>
      </w:pPr>
      <w:r>
        <w:t>Auf Basis der verfügbaren Informationen schätzt die Kanzlei den aktuellen Lagerbestand bei Bochstaedt:</w:t>
      </w:r>
    </w:p>
    <w:p>
      <w:pPr>
        <w:pStyle w:val="ListBullet"/>
      </w:pPr>
      <w:r>
        <w:t>Letzte bekannte Lieferung TitanOrtho an Bochstaedt: ca. 200 Einheiten (Schätzung auf Basis Brancheninformationen, Anlage A-24)</w:t>
      </w:r>
    </w:p>
    <w:p>
      <w:pPr>
        <w:pStyle w:val="ListBullet"/>
      </w:pPr>
      <w:r>
        <w:t>Abzüglich bereits verkaufter Einheiten seit letzter Lieferung: ca. 80 Einheiten</w:t>
      </w:r>
    </w:p>
    <w:p>
      <w:pPr>
        <w:pStyle w:val="ListBullet"/>
      </w:pPr>
      <w:r>
        <w:rPr>
          <w:b/>
        </w:rPr>
        <w:t>Geschätzter Lagerbestand:</w:t>
      </w:r>
      <w:r>
        <w:t xml:space="preserve"> ca. 120 Einheiten TitanFlex Pro</w:t>
      </w:r>
    </w:p>
    <w:p>
      <w:pPr>
        <w:pStyle w:val="Heading3"/>
      </w:pPr>
      <w:r>
        <w:rPr>
          <w:rFonts w:ascii="Times New Roman" w:hAnsi="Times New Roman"/>
        </w:rPr>
        <w:t>2.2 Lagerbestand bei Kliniken (noch nicht implantiert)</w:t>
      </w:r>
    </w:p>
    <w:p>
      <w:pPr>
        <w:jc w:val="left"/>
      </w:pPr>
      <w:r>
        <w:t>Drei Kliniken haben nach Kenntnis der Mandantin TitanFlex Pro-Einheiten bezogen und halten möglicherweise Lagervorräte: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Klinik</w:t>
            </w:r>
          </w:p>
        </w:tc>
        <w:tc>
          <w:tcPr>
            <w:tcW w:type="dxa" w:w="2268"/>
          </w:tcPr>
          <w:p>
            <w:r>
              <w:rPr>
                <w:rFonts w:ascii="Times New Roman" w:hAnsi="Times New Roman"/>
                <w:b/>
                <w:sz w:val="20"/>
              </w:rPr>
              <w:t>Bekannte Lieferung</w:t>
            </w:r>
          </w:p>
        </w:tc>
        <w:tc>
          <w:tcPr>
            <w:tcW w:type="dxa" w:w="2268"/>
          </w:tcPr>
          <w:p>
            <w:r>
              <w:rPr>
                <w:rFonts w:ascii="Times New Roman" w:hAnsi="Times New Roman"/>
                <w:b/>
                <w:sz w:val="20"/>
              </w:rPr>
              <w:t>Implantiert (geschätzt)</w:t>
            </w:r>
          </w:p>
        </w:tc>
        <w:tc>
          <w:tcPr>
            <w:tcW w:type="dxa" w:w="2268"/>
          </w:tcPr>
          <w:p>
            <w:r>
              <w:rPr>
                <w:rFonts w:ascii="Times New Roman" w:hAnsi="Times New Roman"/>
                <w:b/>
                <w:sz w:val="20"/>
              </w:rPr>
              <w:t>Lager (geschätzt)</w:t>
            </w:r>
          </w:p>
        </w:tc>
      </w:tr>
      <w:tr>
        <w:tc>
          <w:tcPr>
            <w:tcW w:type="dxa" w:w="2268"/>
          </w:tcPr>
          <w:p>
            <w:r>
              <w:rPr>
                <w:rFonts w:ascii="Times New Roman" w:hAnsi="Times New Roman"/>
                <w:sz w:val="20"/>
              </w:rPr>
              <w:t>Universitätsklinikum Heidelberg</w:t>
            </w:r>
          </w:p>
        </w:tc>
        <w:tc>
          <w:tcPr>
            <w:tcW w:type="dxa" w:w="2268"/>
          </w:tcPr>
          <w:p>
            <w:r>
              <w:rPr>
                <w:rFonts w:ascii="Times New Roman" w:hAnsi="Times New Roman"/>
                <w:sz w:val="20"/>
              </w:rPr>
              <w:t>50 Einheiten (Januar 2026)</w:t>
            </w:r>
          </w:p>
        </w:tc>
        <w:tc>
          <w:tcPr>
            <w:tcW w:type="dxa" w:w="2268"/>
          </w:tcPr>
          <w:p>
            <w:r>
              <w:rPr>
                <w:rFonts w:ascii="Times New Roman" w:hAnsi="Times New Roman"/>
                <w:sz w:val="20"/>
              </w:rPr>
              <w:t>22 Einheiten</w:t>
            </w:r>
          </w:p>
        </w:tc>
        <w:tc>
          <w:tcPr>
            <w:tcW w:type="dxa" w:w="2268"/>
          </w:tcPr>
          <w:p>
            <w:r>
              <w:rPr>
                <w:rFonts w:ascii="Times New Roman" w:hAnsi="Times New Roman"/>
                <w:sz w:val="20"/>
              </w:rPr>
              <w:t>28 Einheiten</w:t>
            </w:r>
          </w:p>
        </w:tc>
      </w:tr>
      <w:tr>
        <w:tc>
          <w:tcPr>
            <w:tcW w:type="dxa" w:w="2268"/>
          </w:tcPr>
          <w:p>
            <w:r>
              <w:rPr>
                <w:rFonts w:ascii="Times New Roman" w:hAnsi="Times New Roman"/>
                <w:sz w:val="20"/>
              </w:rPr>
              <w:t>Krankenhaus Barmherzige Brüder Regensburg</w:t>
            </w:r>
          </w:p>
        </w:tc>
        <w:tc>
          <w:tcPr>
            <w:tcW w:type="dxa" w:w="2268"/>
          </w:tcPr>
          <w:p>
            <w:r>
              <w:rPr>
                <w:rFonts w:ascii="Times New Roman" w:hAnsi="Times New Roman"/>
                <w:sz w:val="20"/>
              </w:rPr>
              <w:t>10 Einheiten (Februar 2026)</w:t>
            </w:r>
          </w:p>
        </w:tc>
        <w:tc>
          <w:tcPr>
            <w:tcW w:type="dxa" w:w="2268"/>
          </w:tcPr>
          <w:p>
            <w:r>
              <w:rPr>
                <w:rFonts w:ascii="Times New Roman" w:hAnsi="Times New Roman"/>
                <w:sz w:val="20"/>
              </w:rPr>
              <w:t>2 Einheiten</w:t>
            </w:r>
          </w:p>
        </w:tc>
        <w:tc>
          <w:tcPr>
            <w:tcW w:type="dxa" w:w="2268"/>
          </w:tcPr>
          <w:p>
            <w:r>
              <w:rPr>
                <w:rFonts w:ascii="Times New Roman" w:hAnsi="Times New Roman"/>
                <w:sz w:val="20"/>
              </w:rPr>
              <w:t>8 Einheiten</w:t>
            </w:r>
          </w:p>
        </w:tc>
      </w:tr>
      <w:tr>
        <w:tc>
          <w:tcPr>
            <w:tcW w:type="dxa" w:w="2268"/>
          </w:tcPr>
          <w:p>
            <w:r>
              <w:rPr>
                <w:rFonts w:ascii="Times New Roman" w:hAnsi="Times New Roman"/>
                <w:sz w:val="20"/>
              </w:rPr>
              <w:t>Evangelisches Krankenhaus Dortmund</w:t>
            </w:r>
          </w:p>
        </w:tc>
        <w:tc>
          <w:tcPr>
            <w:tcW w:type="dxa" w:w="2268"/>
          </w:tcPr>
          <w:p>
            <w:r>
              <w:rPr>
                <w:rFonts w:ascii="Times New Roman" w:hAnsi="Times New Roman"/>
                <w:sz w:val="20"/>
              </w:rPr>
              <w:t>15 Einheiten (Dezember 2025)</w:t>
            </w:r>
          </w:p>
        </w:tc>
        <w:tc>
          <w:tcPr>
            <w:tcW w:type="dxa" w:w="2268"/>
          </w:tcPr>
          <w:p>
            <w:r>
              <w:rPr>
                <w:rFonts w:ascii="Times New Roman" w:hAnsi="Times New Roman"/>
                <w:sz w:val="20"/>
              </w:rPr>
              <w:t>10 Einheiten</w:t>
            </w:r>
          </w:p>
        </w:tc>
        <w:tc>
          <w:tcPr>
            <w:tcW w:type="dxa" w:w="2268"/>
          </w:tcPr>
          <w:p>
            <w:r>
              <w:rPr>
                <w:rFonts w:ascii="Times New Roman" w:hAnsi="Times New Roman"/>
                <w:sz w:val="20"/>
              </w:rPr>
              <w:t>5 Einheiten</w:t>
            </w:r>
          </w:p>
        </w:tc>
      </w:tr>
    </w:tbl>
    <w:p>
      <w:pPr>
        <w:jc w:val="left"/>
      </w:pPr>
      <w:r>
        <w:rPr>
          <w:b/>
        </w:rPr>
        <w:t>Gesamtschätzung Kliniklager:</w:t>
      </w:r>
      <w:r>
        <w:t xml:space="preserve"> ca. 41 Einheiten (noch nicht implantiert, rückrufbar)</w:t>
      </w:r>
    </w:p>
    <w:p/>
    <w:p>
      <w:pPr>
        <w:pStyle w:val="Heading2"/>
      </w:pPr>
      <w:r>
        <w:rPr>
          <w:rFonts w:ascii="Times New Roman" w:hAnsi="Times New Roman"/>
        </w:rPr>
        <w:t>3. Verhältnismäßigkeitsprüfung</w:t>
      </w:r>
    </w:p>
    <w:p>
      <w:pPr>
        <w:pStyle w:val="Heading3"/>
      </w:pPr>
      <w:r>
        <w:rPr>
          <w:rFonts w:ascii="Times New Roman" w:hAnsi="Times New Roman"/>
        </w:rPr>
        <w:t>3.1 Vernichtung Lagerbestand Bochstaedt</w:t>
      </w:r>
    </w:p>
    <w:p>
      <w:pPr>
        <w:jc w:val="left"/>
      </w:pPr>
      <w:r>
        <w:t>Vernichtungswert: 120 Einheiten × ca. 900 EUR (Einstandspreis) = 108.000 EUR. Dieser Betrag ist gemessen am durch die Verletzung verursachten Schaden (vgl. Aktenstück 13: ca. 490.000 EUR Patentlizenzanalogie) nicht unverhältnismäßig. Vernichtungsanspruch gem. § 140a Abs. 1 PatG ist verhältnismäßig.</w:t>
      </w:r>
    </w:p>
    <w:p>
      <w:pPr>
        <w:pStyle w:val="Heading3"/>
      </w:pPr>
      <w:r>
        <w:rPr>
          <w:rFonts w:ascii="Times New Roman" w:hAnsi="Times New Roman"/>
        </w:rPr>
        <w:t>3.2 Rückruf aus Kliniken</w:t>
      </w:r>
    </w:p>
    <w:p>
      <w:pPr>
        <w:jc w:val="left"/>
      </w:pPr>
      <w:r>
        <w:t>Rückruf von 41 Einheiten ist logistisch möglich: Bochstaedt muss die Kliniken kontaktieren, die Ware gegen Erstattung des Kaufpreises zurücknehmen und vernichten. Der Logistik-/Verwaltungsaufwand wird auf ca. 15.000 EUR geschätzt. Gegenüber dem Verletzungsschaden verhältnismäßig.</w:t>
      </w:r>
    </w:p>
    <w:p>
      <w:pPr>
        <w:pStyle w:val="Heading3"/>
      </w:pPr>
      <w:r>
        <w:rPr>
          <w:rFonts w:ascii="Times New Roman" w:hAnsi="Times New Roman"/>
        </w:rPr>
        <w:t>3.3 Keine Pflicht zur Herausgabe implantierter Implantate</w:t>
      </w:r>
    </w:p>
    <w:p>
      <w:pPr>
        <w:jc w:val="left"/>
      </w:pPr>
      <w:r>
        <w:t>Implantierte Einheiten verbleiben selbstverständlich im Körper der Patienten. Bochstaedt und TitanOrtho haben Schadensersatz für die Verletzung zu leisten, aber keine Herausgabepflicht bezüglich implantierter Produkte. Patientensicherheit bleibt oberstes Gebot.</w:t>
      </w:r>
    </w:p>
    <w:p/>
    <w:p>
      <w:pPr>
        <w:pStyle w:val="Heading2"/>
      </w:pPr>
      <w:r>
        <w:rPr>
          <w:rFonts w:ascii="Times New Roman" w:hAnsi="Times New Roman"/>
        </w:rPr>
        <w:t>4. Medizinprodukterecht und BfArM-Meldung</w:t>
      </w:r>
    </w:p>
    <w:p>
      <w:pPr>
        <w:pStyle w:val="Heading3"/>
      </w:pPr>
      <w:r>
        <w:rPr>
          <w:rFonts w:ascii="Times New Roman" w:hAnsi="Times New Roman"/>
        </w:rPr>
        <w:t>4.1 Marktüberwachung nach MDR 2017/745</w:t>
      </w:r>
    </w:p>
    <w:p>
      <w:pPr>
        <w:jc w:val="left"/>
      </w:pPr>
      <w:r>
        <w:t>Das Bundesinstitut für Arzneimittel und Medizinprodukte (BfArM) als zuständige Marktüberwachungsbehörde gem. Art. 93 ff. MDR 2017/745 (EUR-Lex) wurde informiert. TitanFlex Pro besitzt eine CE-Zertifizierung für Deutschland (TÜV SÜD, Nr. DE/CA08/0044/2024). Sollte sich im Rahmen der Musteranalyse ergeben, dass das Produkt die beworbenen Sicherheits- und Leistungsanforderungen nicht erfüllt (z.B. Porosität oder Porengröße nicht innerhalb der in der CE-Dokumentation angegebenen Werte), würde eine BfArM-Marktüberwachungsmaßnahme eingeleitet.</w:t>
      </w:r>
    </w:p>
    <w:p>
      <w:pPr>
        <w:jc w:val="left"/>
      </w:pPr>
      <w:r>
        <w:t>Ein formeller Rückruf durch BfArM (Art. 95 MDR) würde den patentrechtlichen Rückruf verstärken und wäre für die Beklagten schwerwiegender.</w:t>
      </w:r>
    </w:p>
    <w:p>
      <w:pPr>
        <w:pStyle w:val="Heading3"/>
      </w:pPr>
      <w:r>
        <w:rPr>
          <w:rFonts w:ascii="Times New Roman" w:hAnsi="Times New Roman"/>
        </w:rPr>
        <w:t>4.2 EUDAMED-Meldepflicht</w:t>
      </w:r>
    </w:p>
    <w:p>
      <w:pPr>
        <w:jc w:val="left"/>
      </w:pPr>
      <w:r>
        <w:t>Als Hersteller (TitanOrtho) und Inverkehrbringer (Bochstaedt) sind die Beklagten gem. Art. 29 MDR 2017/745 zur Registrierung in EUDAMED (Europäische Datenbank für Medizinprodukte) verpflichtet. Die Kanzlei hat beim BfArM um Auskunft gebeten, ob TitanFlex Pro in EUDAMED korrekt registriert ist.</w:t>
      </w:r>
    </w:p>
    <w:p/>
    <w:p>
      <w:pPr>
        <w:pStyle w:val="Heading2"/>
      </w:pPr>
      <w:r>
        <w:rPr>
          <w:rFonts w:ascii="Times New Roman" w:hAnsi="Times New Roman"/>
        </w:rPr>
        <w:t>5. Prozessuale Durchsetzung</w:t>
      </w:r>
    </w:p>
    <w:p>
      <w:pPr>
        <w:jc w:val="left"/>
      </w:pPr>
      <w:r>
        <w:t>Im Rahmen des UPC-Verfahrens ACT_0188/2026 ist der Vernichtungs- und Rückrufanspruch als eigener Klageantrag (Antrag III der Klageschrift, vgl. Aktenstück 04) formuliert. Im EV-Verfahren EVF_0044/2026 wurde zunächst kein Vernichtungsantrag gestellt (um das Verfahren zu beschleunigen); Vernichtung und Rückruf werden im Hauptsacheverfahren durchgesetzt.</w:t>
      </w:r>
    </w:p>
    <w:p/>
    <w:p>
      <w:pPr>
        <w:jc w:val="left"/>
      </w:pPr>
      <w:r>
        <w:rPr>
          <w:i/>
        </w:rPr>
        <w:t>Quellen: § 140a PatG (dejure.org); Art. 12 UPCA (EUR-Lex); Verordnung (EU) 2017/745, Art. 93, 95 (EUR-Lex); BGH X ZR 11/17 — Schienengebundene Führwagen (openjur.de, zu Verhältnismäßigkeit Rückruf).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