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Einigungsgespräche und Vergleichsversuch</w:t>
      </w:r>
    </w:p>
    <w:p>
      <w:pPr>
        <w:jc w:val="left"/>
      </w:pPr>
      <w:r>
        <w:rPr>
          <w:b/>
        </w:rPr>
        <w:t>Aktenzeichen intern:</w:t>
      </w:r>
      <w:r>
        <w:t xml:space="preserve"> VM-2026-GR-001</w:t>
      </w:r>
    </w:p>
    <w:p>
      <w:pPr>
        <w:jc w:val="left"/>
      </w:pPr>
      <w:r>
        <w:rPr>
          <w:b/>
        </w:rPr>
        <w:t>Datum:</w:t>
      </w:r>
      <w:r>
        <w:t xml:space="preserve"> 08. April 2026</w:t>
      </w:r>
    </w:p>
    <w:p>
      <w:pPr>
        <w:jc w:val="left"/>
      </w:pPr>
      <w:r>
        <w:rPr>
          <w:b/>
        </w:rPr>
        <w:t>Bearbeiter:</w:t>
      </w:r>
      <w:r>
        <w:t xml:space="preserve"> RA Dr. Birkenhainer / RA Tobias Fehrenbach</w:t>
      </w:r>
    </w:p>
    <w:p/>
    <w:p>
      <w:pPr>
        <w:pStyle w:val="Heading2"/>
      </w:pPr>
      <w:r>
        <w:rPr>
          <w:rFonts w:ascii="Times New Roman" w:hAnsi="Times New Roman"/>
        </w:rPr>
        <w:t>1. Anlass und Rahmenbedingungen</w:t>
      </w:r>
    </w:p>
    <w:p>
      <w:pPr>
        <w:pStyle w:val="Heading3"/>
      </w:pPr>
      <w:r>
        <w:rPr>
          <w:rFonts w:ascii="Times New Roman" w:hAnsi="Times New Roman"/>
        </w:rPr>
        <w:t>1.1 Vergleichsinitiative TitanOrtho</w:t>
      </w:r>
    </w:p>
    <w:p>
      <w:pPr>
        <w:jc w:val="left"/>
      </w:pPr>
      <w:r>
        <w:t>Am 02. April 2026 ging bei der Kanzlei Birkenhainer &amp; Consulting eine E-Mail von Rechtsanwalt Maciej Kowalczyk (Kancelaria Prawna Kowalczyk &amp; Wspólnicy, Wroclaw; Bevollmächtigter TitanOrtho) ein (EML-04). In der E-Mail wird namens TitanOrtho Sp. z o.o. Interesse an "konstruktiven Vergleichsgesprächen" bekundet. TitanOrtho signalisiert Bereitschaft, "die gesamte IP-Situation im Rahmen einer umfassenden Vereinbarung" zu klären.</w:t>
      </w:r>
    </w:p>
    <w:p>
      <w:pPr>
        <w:jc w:val="left"/>
      </w:pPr>
      <w:r>
        <w:t>Hintergrund des Gesprächsangebots: Die einstweilige Verfügung des UPC (EVF_0044/2026, erwartet 25. März 2026) hat TitanOrtho offensichtlich getroffen — trotz noch ausstehender formeller Entscheidung hat der UPC in seiner Zwischenverfügung vom 20. März 2026 deutlich gemacht, dass er den Antrag für begründet hält. Bochstaedt steht durch die GeschG-Problematik (Drostmann) unter zusätzlichem Druck.</w:t>
      </w:r>
    </w:p>
    <w:p>
      <w:pPr>
        <w:pStyle w:val="Heading3"/>
      </w:pPr>
      <w:r>
        <w:rPr>
          <w:rFonts w:ascii="Times New Roman" w:hAnsi="Times New Roman"/>
        </w:rPr>
        <w:t>1.2 Position der Mandantin</w:t>
      </w:r>
    </w:p>
    <w:p>
      <w:pPr>
        <w:jc w:val="left"/>
      </w:pPr>
      <w:r>
        <w:t>Die Mandantin Vellbruck Medizintechnik GmbH ist bereit, Vergleichsgespräche aufzunehmen, aber nur unter klaren Mindestbedingungen. Dr. Sonnleitner hat in einem Gespräch vom 04. April 2026 folgende Rahmenbedingungen vorgegeben:</w:t>
      </w:r>
    </w:p>
    <w:p>
      <w:pPr>
        <w:pStyle w:val="ListBullet"/>
      </w:pPr>
      <w:r>
        <w:t>Vollständige Einstellung des Vertriebs von TitanFlex Pro in Deutschland bis zum Abschluss einer Lizenzvereinbarung (Unterlassungsverpflichtungserklärung)</w:t>
      </w:r>
    </w:p>
    <w:p>
      <w:pPr>
        <w:pStyle w:val="ListBullet"/>
      </w:pPr>
      <w:r>
        <w:t>Anerkennung der Gültigkeit des EP 3 218 922 B1 (kein Bestand auf Nichtigkeitsklage BPatG)</w:t>
      </w:r>
    </w:p>
    <w:p>
      <w:pPr>
        <w:pStyle w:val="ListBullet"/>
      </w:pPr>
      <w:r>
        <w:t>Zahlung von Schadensersatz auf Basis der Lizenzanalogie (keine Einigung auf Null-Regelung)</w:t>
      </w:r>
    </w:p>
    <w:p>
      <w:pPr>
        <w:pStyle w:val="ListBullet"/>
      </w:pPr>
      <w:r>
        <w:t>Rückzug der Nichtigkeitsklage (BPatG 4 Ni 18/26)</w:t>
      </w:r>
    </w:p>
    <w:p>
      <w:pPr>
        <w:pStyle w:val="ListBullet"/>
      </w:pPr>
      <w:r>
        <w:t>Klärung der GeschG-Situation (Drostmann): entweder Anerkennung der Verletzung oder akzeptable Regelung</w:t>
      </w:r>
    </w:p>
    <w:p/>
    <w:p>
      <w:pPr>
        <w:pStyle w:val="Heading2"/>
      </w:pPr>
      <w:r>
        <w:rPr>
          <w:rFonts w:ascii="Times New Roman" w:hAnsi="Times New Roman"/>
        </w:rPr>
        <w:t>2. Erstes Sondierungsgespräch (Videokonferenz 10. April 2026)</w:t>
      </w:r>
    </w:p>
    <w:p>
      <w:pPr>
        <w:jc w:val="left"/>
      </w:pPr>
      <w:r>
        <w:t>Am 10. April 2026 fand ein erstes Sondierungsgespräch per Videokonferenz statt (Dauer: 90 Minuten). Teilnehmer:</w:t>
      </w:r>
    </w:p>
    <w:p>
      <w:pPr>
        <w:pStyle w:val="ListBullet"/>
      </w:pPr>
      <w:r>
        <w:t>Vellbruck-Seite: Dr. Sonnleitner, RA Dr. Birkenhainer</w:t>
      </w:r>
    </w:p>
    <w:p>
      <w:pPr>
        <w:pStyle w:val="ListBullet"/>
      </w:pPr>
      <w:r>
        <w:t>TitanOrtho-Seite: Marcin Pawlowski (Geschäftsführer TitanOrtho), RA Kowalczyk</w:t>
      </w:r>
    </w:p>
    <w:p>
      <w:pPr>
        <w:pStyle w:val="ListBullet"/>
      </w:pPr>
      <w:r>
        <w:t>Bochstaedt-Seite (zugeschaltet zum zweiten Teil): Gerhard Bochstaedt, RA Kettner (Stuttgart)</w:t>
      </w:r>
    </w:p>
    <w:p>
      <w:pPr>
        <w:pStyle w:val="Heading3"/>
      </w:pPr>
      <w:r>
        <w:rPr>
          <w:rFonts w:ascii="Times New Roman" w:hAnsi="Times New Roman"/>
        </w:rPr>
        <w:t>2.1 TitanOrtho-Angebote (Erstposition)</w:t>
      </w:r>
    </w:p>
    <w:p>
      <w:pPr>
        <w:jc w:val="left"/>
      </w:pPr>
      <w:r>
        <w:t>TitanOrtho machte folgende Angebote:</w:t>
      </w:r>
    </w:p>
    <w:p>
      <w:pPr>
        <w:pStyle w:val="ListNumber"/>
      </w:pPr>
      <w:r>
        <w:rPr>
          <w:b/>
        </w:rPr>
        <w:t>Lizenzvertrag:</w:t>
      </w:r>
      <w:r>
        <w:t xml:space="preserve"> TitanOrtho bereit, eine Lizenz unter EP 3 218 922 B1 zu nehmen. Vorgeschlagene Rate: 2 % vom Nettoumsatz TitanFlex Pro in allen UPCA-Mitgliedstaaten.</w:t>
      </w:r>
    </w:p>
    <w:p>
      <w:pPr>
        <w:pStyle w:val="ListNumber"/>
      </w:pPr>
      <w:r>
        <w:rPr>
          <w:b/>
        </w:rPr>
        <w:t>Nichtigkeitsklage:</w:t>
      </w:r>
      <w:r>
        <w:t xml:space="preserve"> Bochstaedt nicht bereit, die BPatG-Klage zurückzuziehen ("das ist eine separate Entscheidung Bochstaedts").</w:t>
      </w:r>
    </w:p>
    <w:p>
      <w:pPr>
        <w:pStyle w:val="ListNumber"/>
      </w:pPr>
      <w:r>
        <w:rPr>
          <w:b/>
        </w:rPr>
        <w:t>GeschG:</w:t>
      </w:r>
      <w:r>
        <w:t xml:space="preserve"> TitanOrtho bestreitet jede Kenntnis von Konstruktionsdaten. Bochstaedt: keine Stellungnahme.</w:t>
      </w:r>
    </w:p>
    <w:p>
      <w:pPr>
        <w:pStyle w:val="ListNumber"/>
      </w:pPr>
      <w:r>
        <w:rPr>
          <w:b/>
        </w:rPr>
        <w:t>Schadensersatz:</w:t>
      </w:r>
      <w:r>
        <w:t xml:space="preserve"> Angebot einer Pauschalzahlung von 180.000 EUR als Abgeltung aller vergangenen Verletzungen.</w:t>
      </w:r>
    </w:p>
    <w:p>
      <w:pPr>
        <w:pStyle w:val="Heading3"/>
      </w:pPr>
      <w:r>
        <w:rPr>
          <w:rFonts w:ascii="Times New Roman" w:hAnsi="Times New Roman"/>
        </w:rPr>
        <w:t>2.2 Bewertung durch die Kanzlei</w:t>
      </w:r>
    </w:p>
    <w:p>
      <w:pPr>
        <w:jc w:val="left"/>
      </w:pPr>
      <w:r>
        <w:t>Die TitanOrtho-Erstposition ist für die Mandantin nicht akzeptabel:</w:t>
      </w:r>
    </w:p>
    <w:p>
      <w:pPr>
        <w:pStyle w:val="ListBullet"/>
      </w:pPr>
      <w:r>
        <w:rPr>
          <w:b/>
        </w:rPr>
        <w:t>Lizenzrate 2 %:</w:t>
      </w:r>
      <w:r>
        <w:t xml:space="preserve"> deutlich unter dem marktüblichen Satz (5,5 %) und unterhalb des BGH-Mindeststandards "angemessene Lizenzgebühr" (§ 139 Abs. 2 PatG). Gegenvorschlag: 5 % (leichter Abschlag auf 5,5 % als Zeichen von Kompromissbereitschaft).</w:t>
      </w:r>
    </w:p>
    <w:p>
      <w:pPr>
        <w:pStyle w:val="ListBullet"/>
      </w:pPr>
      <w:r>
        <w:rPr>
          <w:b/>
        </w:rPr>
        <w:t>Bochstaedt-Nichtigkeitsklage:</w:t>
      </w:r>
      <w:r>
        <w:t xml:space="preserve"> Wenn die Klage nicht zurückgezogen wird, macht eine Lizenzvereinbarung auf Grundlage eines "anerkannten" Patents keinen Sinn. Die Mandantin besteht auf Rückzug als Vorbedingung.</w:t>
      </w:r>
    </w:p>
    <w:p>
      <w:pPr>
        <w:pStyle w:val="ListBullet"/>
      </w:pPr>
      <w:r>
        <w:rPr>
          <w:b/>
        </w:rPr>
        <w:t>Schadensersatz 180.000 EUR:</w:t>
      </w:r>
      <w:r>
        <w:t xml:space="preserve"> Zu niedrig; die Lizenzanalogie ergibt allein ca. 490.000 EUR (vgl. Aktenstück 13). Mindestsorderung: 350.000 EUR Pauschalzahlung.</w:t>
      </w:r>
    </w:p>
    <w:p/>
    <w:p>
      <w:pPr>
        <w:pStyle w:val="Heading2"/>
      </w:pPr>
      <w:r>
        <w:rPr>
          <w:rFonts w:ascii="Times New Roman" w:hAnsi="Times New Roman"/>
        </w:rPr>
        <w:t>3. Vergleichskorridor</w:t>
      </w:r>
    </w:p>
    <w:p>
      <w:pPr>
        <w:pStyle w:val="Heading3"/>
      </w:pPr>
      <w:r>
        <w:rPr>
          <w:rFonts w:ascii="Times New Roman" w:hAnsi="Times New Roman"/>
        </w:rPr>
        <w:t>3.1 Best Case — Vergleich für 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 für Mandantin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Unterlassung Deutschland (sofort)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TitanFlex Pro sofort vom Markt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Sicherung Marktanteile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Lizenzvertrag EU (laufend)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 Nettoumsatz, mind. 3 Jahre Laufzeit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150.000–200.000 EUR/Jahr (Prognose)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 Vergangenheit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350.000 EUR pauschal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Sofortliquidität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Nichtigkeitsklage-Rückzug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 4 Ni 18/26 zurückgezogen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 des Patents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GeschG-Regelung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Geheimhaltungsverpflichtung, Vernichtung Kopien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Sicherung Know-how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Markenregelung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Änderung Produktname auf "OrthoFlex Pro"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 geschützt</w:t>
            </w:r>
          </w:p>
        </w:tc>
      </w:tr>
    </w:tbl>
    <w:p>
      <w:pPr>
        <w:jc w:val="left"/>
      </w:pPr>
      <w:r>
        <w:rPr>
          <w:b/>
        </w:rPr>
        <w:t>Gesamtwert Best Case:</w:t>
      </w:r>
      <w:r>
        <w:t xml:space="preserve"> ca. 350.000 EUR + 150.000 EUR/Jahr × 3 Jahre = ca. 800.000 EUR. Dazu: Schutz des Patents ohne BPatG-Risiko.</w:t>
      </w:r>
    </w:p>
    <w:p>
      <w:pPr>
        <w:pStyle w:val="Heading3"/>
      </w:pPr>
      <w:r>
        <w:rPr>
          <w:rFonts w:ascii="Times New Roman" w:hAnsi="Times New Roman"/>
        </w:rPr>
        <w:t>3.2 Worst Case — kein Vergleich</w:t>
      </w:r>
    </w:p>
    <w:p>
      <w:pPr>
        <w:jc w:val="left"/>
      </w:pPr>
      <w:r>
        <w:t>Keine Einigung → UPC-Hauptverfahren bis 2027 → BPatG-Verfahren bis 2028 → Risiko partieller Patentnichtigkeit → möglicher Verlust Schadensersatz in Höhe von 500.000–1,8 Mio. EUR (Bandbreite Lizenzanalogie vs. entgangener Gewinn) vs. Prozesskosten von ca. 150.000–200.000 EUR.</w:t>
      </w:r>
    </w:p>
    <w:p>
      <w:pPr>
        <w:jc w:val="left"/>
      </w:pPr>
      <w:r>
        <w:t>Klare Empfehlung: Vergleich auf Basis des Best-Case-Korridors anstreben, aber nicht um jeden Preis. Der "Walk-Away-Punkt" für Mandantin liegt bei: (1) keine Schadensersatzzahlung &lt; 280.000 EUR und (2) keine Lizenzrate &lt; 4 %.</w:t>
      </w:r>
    </w:p>
    <w:p/>
    <w:p>
      <w:pPr>
        <w:pStyle w:val="Heading2"/>
      </w:pPr>
      <w:r>
        <w:rPr>
          <w:rFonts w:ascii="Times New Roman" w:hAnsi="Times New Roman"/>
        </w:rPr>
        <w:t>4.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Gegenangebot Kanzlei Birkenhainer an RA Kowalczyk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Zweites Sondierungsgespräch (Präsenz München, 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für Einigung — danach Fortsetzung EV-Verfahren und Klageantragserhöhung</w:t>
            </w:r>
          </w:p>
        </w:tc>
      </w:tr>
    </w:tbl>
    <w:p/>
    <w:p>
      <w:pPr>
        <w:jc w:val="left"/>
      </w:pPr>
      <w:r>
        <w:rPr>
          <w:i/>
        </w:rPr>
        <w:t>Quellen: § 139 PatG (dejure.org); § 779 BGB (Vergleich, dejure.org); Art. 62 UPCA (EUR-Lex).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