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18 — Strategieübersicht und Kommunikation im Anwaltsteam</w:t>
      </w:r>
    </w:p>
    <w:p>
      <w:pPr>
        <w:jc w:val="left"/>
      </w:pPr>
      <w:r>
        <w:rPr>
          <w:b/>
        </w:rPr>
        <w:t>Aktenzeichen intern:</w:t>
      </w:r>
      <w:r>
        <w:t xml:space="preserve"> VM-2026-GR-001</w:t>
      </w:r>
    </w:p>
    <w:p>
      <w:pPr>
        <w:jc w:val="left"/>
      </w:pPr>
      <w:r>
        <w:rPr>
          <w:b/>
        </w:rPr>
        <w:t>Datum:</w:t>
      </w:r>
      <w:r>
        <w:t xml:space="preserve"> 15. April 2026</w:t>
      </w:r>
    </w:p>
    <w:p>
      <w:pPr>
        <w:jc w:val="left"/>
      </w:pPr>
      <w:r>
        <w:rPr>
          <w:b/>
        </w:rPr>
        <w:t>Bearbeiter:</w:t>
      </w:r>
      <w:r>
        <w:t xml:space="preserve"> RA Dr. Birkenhainer (Teamleitung)</w:t>
      </w:r>
    </w:p>
    <w:p/>
    <w:p>
      <w:pPr>
        <w:pStyle w:val="Heading2"/>
      </w:pPr>
      <w:r>
        <w:rPr>
          <w:rFonts w:ascii="Times New Roman" w:hAnsi="Times New Roman"/>
        </w:rPr>
        <w:t>1. Anwaltsteam und Kommunikationsstruktur</w:t>
      </w:r>
    </w:p>
    <w:p>
      <w:pPr>
        <w:jc w:val="left"/>
      </w:pPr>
      <w:r>
        <w:t>Das Verfahrensteam ist auf vier Kanzleien verteilt. Die Koordination erfordert klare Kommunikationsprotokolle, um Widersprüche zu vermeiden und Verfahrensfristen nicht zu verpassen.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Kanzlei</w:t>
            </w:r>
          </w:p>
        </w:tc>
        <w:tc>
          <w:tcPr>
            <w:tcW w:type="dxa" w:w="2268"/>
          </w:tcPr>
          <w:p>
            <w:r>
              <w:rPr>
                <w:rFonts w:ascii="Times New Roman" w:hAnsi="Times New Roman"/>
                <w:b/>
                <w:sz w:val="20"/>
              </w:rPr>
              <w:t>Funktion</w:t>
            </w:r>
          </w:p>
        </w:tc>
        <w:tc>
          <w:tcPr>
            <w:tcW w:type="dxa" w:w="2268"/>
          </w:tcPr>
          <w:p>
            <w:r>
              <w:rPr>
                <w:rFonts w:ascii="Times New Roman" w:hAnsi="Times New Roman"/>
                <w:b/>
                <w:sz w:val="20"/>
              </w:rPr>
              <w:t>Ansprechpartner</w:t>
            </w:r>
          </w:p>
        </w:tc>
        <w:tc>
          <w:tcPr>
            <w:tcW w:type="dxa" w:w="2268"/>
          </w:tcPr>
          <w:p>
            <w:r>
              <w:rPr>
                <w:rFonts w:ascii="Times New Roman" w:hAnsi="Times New Roman"/>
                <w:b/>
                <w:sz w:val="20"/>
              </w:rPr>
              <w:t>Kommunikationskanal</w:t>
            </w:r>
          </w:p>
        </w:tc>
      </w:tr>
      <w:tr>
        <w:tc>
          <w:tcPr>
            <w:tcW w:type="dxa" w:w="2268"/>
          </w:tcPr>
          <w:p>
            <w:r>
              <w:rPr>
                <w:rFonts w:ascii="Times New Roman" w:hAnsi="Times New Roman"/>
                <w:sz w:val="20"/>
              </w:rPr>
              <w:t>Birkenhainer &amp; Consulting (München)</w:t>
            </w:r>
          </w:p>
        </w:tc>
        <w:tc>
          <w:tcPr>
            <w:tcW w:type="dxa" w:w="2268"/>
          </w:tcPr>
          <w:p>
            <w:r>
              <w:rPr>
                <w:rFonts w:ascii="Times New Roman" w:hAnsi="Times New Roman"/>
                <w:sz w:val="20"/>
              </w:rPr>
              <w:t>Führende Kanzlei, Strategie, Marke, GeschG</w:t>
            </w:r>
          </w:p>
        </w:tc>
        <w:tc>
          <w:tcPr>
            <w:tcW w:type="dxa" w:w="2268"/>
          </w:tcPr>
          <w:p>
            <w:r>
              <w:rPr>
                <w:rFonts w:ascii="Times New Roman" w:hAnsi="Times New Roman"/>
                <w:sz w:val="20"/>
              </w:rPr>
              <w:t>Dr. Birkenhainer, RA Fehrenbach, RA Dr. Karstens</w:t>
            </w:r>
          </w:p>
        </w:tc>
        <w:tc>
          <w:tcPr>
            <w:tcW w:type="dxa" w:w="2268"/>
          </w:tcPr>
          <w:p>
            <w:r>
              <w:rPr>
                <w:rFonts w:ascii="Times New Roman" w:hAnsi="Times New Roman"/>
                <w:sz w:val="20"/>
              </w:rPr>
              <w:t>Encrypted E-Mail, wöchentliches Call Di 16:00</w:t>
            </w:r>
          </w:p>
        </w:tc>
      </w:tr>
      <w:tr>
        <w:tc>
          <w:tcPr>
            <w:tcW w:type="dxa" w:w="2268"/>
          </w:tcPr>
          <w:p>
            <w:r>
              <w:rPr>
                <w:rFonts w:ascii="Times New Roman" w:hAnsi="Times New Roman"/>
                <w:sz w:val="20"/>
              </w:rPr>
              <w:t>Rademakers IP (Düsseldorf)</w:t>
            </w:r>
          </w:p>
        </w:tc>
        <w:tc>
          <w:tcPr>
            <w:tcW w:type="dxa" w:w="2268"/>
          </w:tcPr>
          <w:p>
            <w:r>
              <w:rPr>
                <w:rFonts w:ascii="Times New Roman" w:hAnsi="Times New Roman"/>
                <w:sz w:val="20"/>
              </w:rPr>
              <w:t>UPC-Verfahren, EV</w:t>
            </w:r>
          </w:p>
        </w:tc>
        <w:tc>
          <w:tcPr>
            <w:tcW w:type="dxa" w:w="2268"/>
          </w:tcPr>
          <w:p>
            <w:r>
              <w:rPr>
                <w:rFonts w:ascii="Times New Roman" w:hAnsi="Times New Roman"/>
                <w:sz w:val="20"/>
              </w:rPr>
              <w:t>RA Dr. Rademakers</w:t>
            </w:r>
          </w:p>
        </w:tc>
        <w:tc>
          <w:tcPr>
            <w:tcW w:type="dxa" w:w="2268"/>
          </w:tcPr>
          <w:p>
            <w:r>
              <w:rPr>
                <w:rFonts w:ascii="Times New Roman" w:hAnsi="Times New Roman"/>
                <w:sz w:val="20"/>
              </w:rPr>
              <w:t>Encrypted E-Mail, bi-weekly Call Mi 10:00</w:t>
            </w:r>
          </w:p>
        </w:tc>
      </w:tr>
      <w:tr>
        <w:tc>
          <w:tcPr>
            <w:tcW w:type="dxa" w:w="2268"/>
          </w:tcPr>
          <w:p>
            <w:r>
              <w:rPr>
                <w:rFonts w:ascii="Times New Roman" w:hAnsi="Times New Roman"/>
                <w:sz w:val="20"/>
              </w:rPr>
              <w:t>Gruhl &amp; Teichmann (München)</w:t>
            </w:r>
          </w:p>
        </w:tc>
        <w:tc>
          <w:tcPr>
            <w:tcW w:type="dxa" w:w="2268"/>
          </w:tcPr>
          <w:p>
            <w:r>
              <w:rPr>
                <w:rFonts w:ascii="Times New Roman" w:hAnsi="Times New Roman"/>
                <w:sz w:val="20"/>
              </w:rPr>
              <w:t>BPatG-Verfahren, technische Stellungnahmen</w:t>
            </w:r>
          </w:p>
        </w:tc>
        <w:tc>
          <w:tcPr>
            <w:tcW w:type="dxa" w:w="2268"/>
          </w:tcPr>
          <w:p>
            <w:r>
              <w:rPr>
                <w:rFonts w:ascii="Times New Roman" w:hAnsi="Times New Roman"/>
                <w:sz w:val="20"/>
              </w:rPr>
              <w:t>PatAnw. Dr. Gruhl</w:t>
            </w:r>
          </w:p>
        </w:tc>
        <w:tc>
          <w:tcPr>
            <w:tcW w:type="dxa" w:w="2268"/>
          </w:tcPr>
          <w:p>
            <w:r>
              <w:rPr>
                <w:rFonts w:ascii="Times New Roman" w:hAnsi="Times New Roman"/>
                <w:sz w:val="20"/>
              </w:rPr>
              <w:t>Encrypted E-Mail, monatliches Call</w:t>
            </w:r>
          </w:p>
        </w:tc>
      </w:tr>
      <w:tr>
        <w:tc>
          <w:tcPr>
            <w:tcW w:type="dxa" w:w="2268"/>
          </w:tcPr>
          <w:p>
            <w:r>
              <w:rPr>
                <w:rFonts w:ascii="Times New Roman" w:hAnsi="Times New Roman"/>
                <w:sz w:val="20"/>
              </w:rPr>
              <w:t>Harrington &amp; McCullough LLP (Washington D.C.)</w:t>
            </w:r>
          </w:p>
        </w:tc>
        <w:tc>
          <w:tcPr>
            <w:tcW w:type="dxa" w:w="2268"/>
          </w:tcPr>
          <w:p>
            <w:r>
              <w:rPr>
                <w:rFonts w:ascii="Times New Roman" w:hAnsi="Times New Roman"/>
                <w:sz w:val="20"/>
              </w:rPr>
              <w:t>FRAND / US-Patent</w:t>
            </w:r>
          </w:p>
        </w:tc>
        <w:tc>
          <w:tcPr>
            <w:tcW w:type="dxa" w:w="2268"/>
          </w:tcPr>
          <w:p>
            <w:r>
              <w:rPr>
                <w:rFonts w:ascii="Times New Roman" w:hAnsi="Times New Roman"/>
                <w:sz w:val="20"/>
              </w:rPr>
              <w:t>Partner McCullough</w:t>
            </w:r>
          </w:p>
        </w:tc>
        <w:tc>
          <w:tcPr>
            <w:tcW w:type="dxa" w:w="2268"/>
          </w:tcPr>
          <w:p>
            <w:r>
              <w:rPr>
                <w:rFonts w:ascii="Times New Roman" w:hAnsi="Times New Roman"/>
                <w:sz w:val="20"/>
              </w:rPr>
              <w:t>WhatsApp Business (verschlüsselt), E-Mail</w:t>
            </w:r>
          </w:p>
        </w:tc>
      </w:tr>
    </w:tbl>
    <w:p>
      <w:pPr>
        <w:jc w:val="left"/>
      </w:pPr>
      <w:r>
        <w:t>Mandantenansprechpartner: Dr. Philipp Sonnleitner (Geschäftsführer, Eskalation), Dipl.-Ing. Carola Reisemann (IP-Leiterin, Technik), Beate Vogt (Sekretariat IP-Abteilung).</w:t>
      </w:r>
    </w:p>
    <w:p/>
    <w:p>
      <w:pPr>
        <w:pStyle w:val="Heading2"/>
      </w:pPr>
      <w:r>
        <w:rPr>
          <w:rFonts w:ascii="Times New Roman" w:hAnsi="Times New Roman"/>
        </w:rPr>
        <w:t>2. Strategische Gesamtausrichtung</w:t>
      </w:r>
    </w:p>
    <w:p>
      <w:pPr>
        <w:pStyle w:val="Heading3"/>
      </w:pPr>
      <w:r>
        <w:rPr>
          <w:rFonts w:ascii="Times New Roman" w:hAnsi="Times New Roman"/>
        </w:rPr>
        <w:t>2.1 Vorrang der schnellen Unterlassung</w:t>
      </w:r>
    </w:p>
    <w:p>
      <w:pPr>
        <w:jc w:val="left"/>
      </w:pPr>
      <w:r>
        <w:t>Oberste Priorität ist die schnelle Erwirkung eines vollstreckbaren Unterlassungstitels gegen TitanFlex Pro. Dies geschieht über:</w:t>
      </w:r>
    </w:p>
    <w:p>
      <w:pPr>
        <w:pStyle w:val="ListNumber"/>
      </w:pPr>
      <w:r>
        <w:t>UPC einstweilige Verfügung EVF_0044/2026 (Entscheidung erwartet 25. März 2026)</w:t>
      </w:r>
    </w:p>
    <w:p>
      <w:pPr>
        <w:pStyle w:val="ListNumber"/>
      </w:pPr>
      <w:r>
        <w:t>Parallel: Markeneinstweilige Verfügung LG Stuttgart (Abmahnung gescheitert, EVf in Vorbereitung)</w:t>
      </w:r>
    </w:p>
    <w:p>
      <w:pPr>
        <w:jc w:val="left"/>
      </w:pPr>
      <w:r>
        <w:t>Ein vollstreckbarer Titel stoppt den Marktschaden unmittelbar. Jede Woche Verzögerung bedeutet ca. 160 weitere Einheiten auf dem deutschen Markt (Schätzung auf Basis Q1 2026-Zahlen).</w:t>
      </w:r>
    </w:p>
    <w:p>
      <w:pPr>
        <w:pStyle w:val="Heading3"/>
      </w:pPr>
      <w:r>
        <w:rPr>
          <w:rFonts w:ascii="Times New Roman" w:hAnsi="Times New Roman"/>
        </w:rPr>
        <w:t>2.2 Maximierung der Verhandlungsmasse</w:t>
      </w:r>
    </w:p>
    <w:p>
      <w:pPr>
        <w:jc w:val="left"/>
      </w:pPr>
      <w:r>
        <w:t>Durch die parallele Geltendmachung von Patent, Marke, GeschG und Designrecht sowie die Grenzbeschlagnahme und die Zollanzeige (China-Import) wird ein umfassender Druck auf beide Beklagte ausgeübt. Ziel ist, Bochstaedt MedSupply OHG — als der wirtschaftlich verwundbareren Partei — zur Einigung zu bewegen, bevor TitanOrtho Zeit gewinnt.</w:t>
      </w:r>
    </w:p>
    <w:p>
      <w:pPr>
        <w:jc w:val="left"/>
      </w:pPr>
      <w:r>
        <w:rPr>
          <w:b/>
        </w:rPr>
        <w:t>Taktischer Hinweis:</w:t>
      </w:r>
      <w:r>
        <w:t xml:space="preserve"> Bochstaedt ist stärker durch die GeschG-Problematik (Drostmann) exponiert als durch das Patent allein. Gerhard Bochstaedt persönlich haftet als OHG-Gesellschafter unbegrenzt. Dies schafft erheblichen persönlichen Einigungsdruck.</w:t>
      </w:r>
    </w:p>
    <w:p>
      <w:pPr>
        <w:pStyle w:val="Heading3"/>
      </w:pPr>
      <w:r>
        <w:rPr>
          <w:rFonts w:ascii="Times New Roman" w:hAnsi="Times New Roman"/>
        </w:rPr>
        <w:t>2.3 BPatG-Verteidigung parallel stärken</w:t>
      </w:r>
    </w:p>
    <w:p>
      <w:pPr>
        <w:jc w:val="left"/>
      </w:pPr>
      <w:r>
        <w:t>Eine Schwächung des Patents im BPatG-Verfahren würde alle anderen Ansprüche untergraben. PatAnw. Dr. Gruhl hat daher absolute Priorität bei der Klageerwiderung (Frist: 20. Juni 2026). Die Hilfsanträge müssen sorgfältig formuliert sein, um das Patent auch bei kritischer Bewertung des Hauptanspruchs zu schützen.</w:t>
      </w:r>
    </w:p>
    <w:p/>
    <w:p>
      <w:pPr>
        <w:pStyle w:val="Heading2"/>
      </w:pPr>
      <w:r>
        <w:rPr>
          <w:rFonts w:ascii="Times New Roman" w:hAnsi="Times New Roman"/>
        </w:rPr>
        <w:t>3. Kommunikationsprotokoll</w:t>
      </w:r>
    </w:p>
    <w:p>
      <w:pPr>
        <w:pStyle w:val="Heading3"/>
      </w:pPr>
      <w:r>
        <w:rPr>
          <w:rFonts w:ascii="Times New Roman" w:hAnsi="Times New Roman"/>
        </w:rPr>
        <w:t>3.1 Interne Fristen und Eskalation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Fristentyp</w:t>
            </w:r>
          </w:p>
        </w:tc>
        <w:tc>
          <w:tcPr>
            <w:tcW w:type="dxa" w:w="3024"/>
          </w:tcPr>
          <w:p>
            <w:r>
              <w:rPr>
                <w:rFonts w:ascii="Times New Roman" w:hAnsi="Times New Roman"/>
                <w:b/>
                <w:sz w:val="20"/>
              </w:rPr>
              <w:t>Regel</w:t>
            </w:r>
          </w:p>
        </w:tc>
        <w:tc>
          <w:tcPr>
            <w:tcW w:type="dxa" w:w="3024"/>
          </w:tcPr>
          <w:p>
            <w:r>
              <w:rPr>
                <w:rFonts w:ascii="Times New Roman" w:hAnsi="Times New Roman"/>
                <w:b/>
                <w:sz w:val="20"/>
              </w:rPr>
              <w:t>Eskalationsweg</w:t>
            </w:r>
          </w:p>
        </w:tc>
      </w:tr>
      <w:tr>
        <w:tc>
          <w:tcPr>
            <w:tcW w:type="dxa" w:w="3024"/>
          </w:tcPr>
          <w:p>
            <w:r>
              <w:rPr>
                <w:rFonts w:ascii="Times New Roman" w:hAnsi="Times New Roman"/>
                <w:sz w:val="20"/>
              </w:rPr>
              <w:t>Gerichtliche Fristen</w:t>
            </w:r>
          </w:p>
        </w:tc>
        <w:tc>
          <w:tcPr>
            <w:tcW w:type="dxa" w:w="3024"/>
          </w:tcPr>
          <w:p>
            <w:r>
              <w:rPr>
                <w:rFonts w:ascii="Times New Roman" w:hAnsi="Times New Roman"/>
                <w:sz w:val="20"/>
              </w:rPr>
              <w:t>Erinnerung 3 Wochen + 1 Woche vor Fälligkeit (RA Fehrenbach)</w:t>
            </w:r>
          </w:p>
        </w:tc>
        <w:tc>
          <w:tcPr>
            <w:tcW w:type="dxa" w:w="3024"/>
          </w:tcPr>
          <w:p>
            <w:r>
              <w:rPr>
                <w:rFonts w:ascii="Times New Roman" w:hAnsi="Times New Roman"/>
                <w:sz w:val="20"/>
              </w:rPr>
              <w:t>Dr. Birkenhainer informieren bei &lt; 2 Wochen</w:t>
            </w:r>
          </w:p>
        </w:tc>
      </w:tr>
      <w:tr>
        <w:tc>
          <w:tcPr>
            <w:tcW w:type="dxa" w:w="3024"/>
          </w:tcPr>
          <w:p>
            <w:r>
              <w:rPr>
                <w:rFonts w:ascii="Times New Roman" w:hAnsi="Times New Roman"/>
                <w:sz w:val="20"/>
              </w:rPr>
              <w:t>Mandantenberichte</w:t>
            </w:r>
          </w:p>
        </w:tc>
        <w:tc>
          <w:tcPr>
            <w:tcW w:type="dxa" w:w="3024"/>
          </w:tcPr>
          <w:p>
            <w:r>
              <w:rPr>
                <w:rFonts w:ascii="Times New Roman" w:hAnsi="Times New Roman"/>
                <w:sz w:val="20"/>
              </w:rPr>
              <w:t>Monatliche Statusmemo, versandt bis 5. des Folgemonats</w:t>
            </w:r>
          </w:p>
        </w:tc>
        <w:tc>
          <w:tcPr>
            <w:tcW w:type="dxa" w:w="3024"/>
          </w:tcPr>
          <w:p>
            <w:r>
              <w:rPr>
                <w:rFonts w:ascii="Times New Roman" w:hAnsi="Times New Roman"/>
                <w:sz w:val="20"/>
              </w:rPr>
              <w:t>Dr. Sonnleitner direkt</w:t>
            </w:r>
          </w:p>
        </w:tc>
      </w:tr>
      <w:tr>
        <w:tc>
          <w:tcPr>
            <w:tcW w:type="dxa" w:w="3024"/>
          </w:tcPr>
          <w:p>
            <w:r>
              <w:rPr>
                <w:rFonts w:ascii="Times New Roman" w:hAnsi="Times New Roman"/>
                <w:sz w:val="20"/>
              </w:rPr>
              <w:t>Vergleichsgespräche</w:t>
            </w:r>
          </w:p>
        </w:tc>
        <w:tc>
          <w:tcPr>
            <w:tcW w:type="dxa" w:w="3024"/>
          </w:tcPr>
          <w:p>
            <w:r>
              <w:rPr>
                <w:rFonts w:ascii="Times New Roman" w:hAnsi="Times New Roman"/>
                <w:sz w:val="20"/>
              </w:rPr>
              <w:t>Vor jeder externen Kommunikation: Abstimmung Dr. Birkenhainer + Dr. Sonnleitner</w:t>
            </w:r>
          </w:p>
        </w:tc>
        <w:tc>
          <w:tcPr>
            <w:tcW w:type="dxa" w:w="3024"/>
          </w:tcPr>
          <w:p>
            <w:r>
              <w:rPr>
                <w:rFonts w:ascii="Times New Roman" w:hAnsi="Times New Roman"/>
                <w:sz w:val="20"/>
              </w:rPr>
              <w:t>Keine unabgestimmten Angebote</w:t>
            </w:r>
          </w:p>
        </w:tc>
      </w:tr>
      <w:tr>
        <w:tc>
          <w:tcPr>
            <w:tcW w:type="dxa" w:w="3024"/>
          </w:tcPr>
          <w:p>
            <w:r>
              <w:rPr>
                <w:rFonts w:ascii="Times New Roman" w:hAnsi="Times New Roman"/>
                <w:sz w:val="20"/>
              </w:rPr>
              <w:t>Presseanfragen</w:t>
            </w:r>
          </w:p>
        </w:tc>
        <w:tc>
          <w:tcPr>
            <w:tcW w:type="dxa" w:w="3024"/>
          </w:tcPr>
          <w:p>
            <w:r>
              <w:rPr>
                <w:rFonts w:ascii="Times New Roman" w:hAnsi="Times New Roman"/>
                <w:sz w:val="20"/>
              </w:rPr>
              <w:t>Keine Stellungnahmen ohne Freigabe Dr. Sonnleitner</w:t>
            </w:r>
          </w:p>
        </w:tc>
        <w:tc>
          <w:tcPr>
            <w:tcW w:type="dxa" w:w="3024"/>
          </w:tcPr>
          <w:p>
            <w:r>
              <w:rPr>
                <w:rFonts w:ascii="Times New Roman" w:hAnsi="Times New Roman"/>
                <w:sz w:val="20"/>
              </w:rPr>
              <w:t>Alle Anfragen sofort an Dr. Sonnleitner weiterleiten</w:t>
            </w:r>
          </w:p>
        </w:tc>
      </w:tr>
    </w:tbl>
    <w:p>
      <w:pPr>
        <w:pStyle w:val="Heading3"/>
      </w:pPr>
      <w:r>
        <w:rPr>
          <w:rFonts w:ascii="Times New Roman" w:hAnsi="Times New Roman"/>
        </w:rPr>
        <w:t>3.2 Vertraulichkeit</w:t>
      </w:r>
    </w:p>
    <w:p>
      <w:pPr>
        <w:jc w:val="left"/>
      </w:pPr>
      <w:r>
        <w:t>Alle strategischen Dokumente (Claim Charts, Vergleichspositionen, interne Schwachstellenanalysen) werden ausschließlich über verschlüsselte E-Mail (ProtonMail, Kanzlei-Domäne) übermittelt. Keine strategischen Inhalte über normale E-Mail oder Messenger. Alle beteiligten Kanzleien haben entsprechende Vertraulichkeitsvereinbarungen mit der Mandantin unterzeichnet.</w:t>
      </w:r>
    </w:p>
    <w:p/>
    <w:p>
      <w:pPr>
        <w:pStyle w:val="Heading2"/>
      </w:pPr>
      <w:r>
        <w:rPr>
          <w:rFonts w:ascii="Times New Roman" w:hAnsi="Times New Roman"/>
        </w:rPr>
        <w:t>4. Mandantenmanagement</w:t>
      </w:r>
    </w:p>
    <w:p>
      <w:pPr>
        <w:pStyle w:val="Heading3"/>
      </w:pPr>
      <w:r>
        <w:rPr>
          <w:rFonts w:ascii="Times New Roman" w:hAnsi="Times New Roman"/>
        </w:rPr>
        <w:t>4.1 Informationsstand Mandantin</w:t>
      </w:r>
    </w:p>
    <w:p>
      <w:pPr>
        <w:jc w:val="left"/>
      </w:pPr>
      <w:r>
        <w:t>Die Mandantin wird über jeden wesentlichen Verfahrensschritt unmittelbar informiert. Folgende Ereignisse erfordern sofortige Benachrichtigung (Telefon + E-Mail, noch am selben Tag):</w:t>
      </w:r>
    </w:p>
    <w:p>
      <w:pPr>
        <w:pStyle w:val="ListBullet"/>
      </w:pPr>
      <w:r>
        <w:t>Eingang einer Klageantwort der Beklagten</w:t>
      </w:r>
    </w:p>
    <w:p>
      <w:pPr>
        <w:pStyle w:val="ListBullet"/>
      </w:pPr>
      <w:r>
        <w:t>Entscheidungen des UPC oder BPatG</w:t>
      </w:r>
    </w:p>
    <w:p>
      <w:pPr>
        <w:pStyle w:val="ListBullet"/>
      </w:pPr>
      <w:r>
        <w:t>Neue Verletzungshandlungen (neue Lieferungen, neue Kliniken)</w:t>
      </w:r>
    </w:p>
    <w:p>
      <w:pPr>
        <w:pStyle w:val="ListBullet"/>
      </w:pPr>
      <w:r>
        <w:t>Vergleichsangebote der Gegenseite</w:t>
      </w:r>
    </w:p>
    <w:p>
      <w:pPr>
        <w:pStyle w:val="ListBullet"/>
      </w:pPr>
      <w:r>
        <w:t>Presseveröffentlichungen der Beklagten</w:t>
      </w:r>
    </w:p>
    <w:p>
      <w:pPr>
        <w:pStyle w:val="Heading3"/>
      </w:pPr>
      <w:r>
        <w:rPr>
          <w:rFonts w:ascii="Times New Roman" w:hAnsi="Times New Roman"/>
        </w:rPr>
        <w:t>4.2 Risikokommunikation</w:t>
      </w:r>
    </w:p>
    <w:p>
      <w:pPr>
        <w:jc w:val="left"/>
      </w:pPr>
      <w:r>
        <w:t>Die Mandantin wurde darüber informiert, dass die BPatG-Nichtigkeitsklage ein "Non-Zero Risk" darstellt. Selbst ein starkes Patent kann in seltenen Fällen widerrufen werden. Dr. Sonnleitner hat dies zur Kenntnis genommen und bestätigt, dass Vellbruck auch im worst case (Patentwiderruf) noch auf Marken- und GeschG-Ansprüche zurückgreifen kann.</w:t>
      </w:r>
    </w:p>
    <w:p/>
    <w:p>
      <w:pPr>
        <w:pStyle w:val="Heading2"/>
      </w:pPr>
      <w:r>
        <w:rPr>
          <w:rFonts w:ascii="Times New Roman" w:hAnsi="Times New Roman"/>
        </w:rPr>
        <w:t>5. Zeitplan bis Ende 2026</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Meilenstein</w:t>
            </w:r>
          </w:p>
        </w:tc>
      </w:tr>
      <w:tr>
        <w:tc>
          <w:tcPr>
            <w:tcW w:type="dxa" w:w="4536"/>
          </w:tcPr>
          <w:p>
            <w:r>
              <w:rPr>
                <w:rFonts w:ascii="Times New Roman" w:hAnsi="Times New Roman"/>
                <w:sz w:val="20"/>
              </w:rPr>
              <w:t>25.03.2026</w:t>
            </w:r>
          </w:p>
        </w:tc>
        <w:tc>
          <w:tcPr>
            <w:tcW w:type="dxa" w:w="4536"/>
          </w:tcPr>
          <w:p>
            <w:r>
              <w:rPr>
                <w:rFonts w:ascii="Times New Roman" w:hAnsi="Times New Roman"/>
                <w:sz w:val="20"/>
              </w:rPr>
              <w:t>EV-Entscheidung UPC erwartet</w:t>
            </w:r>
          </w:p>
        </w:tc>
      </w:tr>
      <w:tr>
        <w:tc>
          <w:tcPr>
            <w:tcW w:type="dxa" w:w="4536"/>
          </w:tcPr>
          <w:p>
            <w:r>
              <w:rPr>
                <w:rFonts w:ascii="Times New Roman" w:hAnsi="Times New Roman"/>
                <w:sz w:val="20"/>
              </w:rPr>
              <w:t>April 2026</w:t>
            </w:r>
          </w:p>
        </w:tc>
        <w:tc>
          <w:tcPr>
            <w:tcW w:type="dxa" w:w="4536"/>
          </w:tcPr>
          <w:p>
            <w:r>
              <w:rPr>
                <w:rFonts w:ascii="Times New Roman" w:hAnsi="Times New Roman"/>
                <w:sz w:val="20"/>
              </w:rPr>
              <w:t>LG Stuttgart: Marken-EV</w:t>
            </w:r>
          </w:p>
        </w:tc>
      </w:tr>
      <w:tr>
        <w:tc>
          <w:tcPr>
            <w:tcW w:type="dxa" w:w="4536"/>
          </w:tcPr>
          <w:p>
            <w:r>
              <w:rPr>
                <w:rFonts w:ascii="Times New Roman" w:hAnsi="Times New Roman"/>
                <w:sz w:val="20"/>
              </w:rPr>
              <w:t>01.05.2026</w:t>
            </w:r>
          </w:p>
        </w:tc>
        <w:tc>
          <w:tcPr>
            <w:tcW w:type="dxa" w:w="4536"/>
          </w:tcPr>
          <w:p>
            <w:r>
              <w:rPr>
                <w:rFonts w:ascii="Times New Roman" w:hAnsi="Times New Roman"/>
                <w:sz w:val="20"/>
              </w:rPr>
              <w:t>Zweites Vergleichsgespräch (Folgetermin 25.04.2026)</w:t>
            </w:r>
          </w:p>
        </w:tc>
      </w:tr>
      <w:tr>
        <w:tc>
          <w:tcPr>
            <w:tcW w:type="dxa" w:w="4536"/>
          </w:tcPr>
          <w:p>
            <w:r>
              <w:rPr>
                <w:rFonts w:ascii="Times New Roman" w:hAnsi="Times New Roman"/>
                <w:sz w:val="20"/>
              </w:rPr>
              <w:t>20.06.2026</w:t>
            </w:r>
          </w:p>
        </w:tc>
        <w:tc>
          <w:tcPr>
            <w:tcW w:type="dxa" w:w="4536"/>
          </w:tcPr>
          <w:p>
            <w:r>
              <w:rPr>
                <w:rFonts w:ascii="Times New Roman" w:hAnsi="Times New Roman"/>
                <w:sz w:val="20"/>
              </w:rPr>
              <w:t>BPatG-Klageerwiderung (Gruhl)</w:t>
            </w:r>
          </w:p>
        </w:tc>
      </w:tr>
      <w:tr>
        <w:tc>
          <w:tcPr>
            <w:tcW w:type="dxa" w:w="4536"/>
          </w:tcPr>
          <w:p>
            <w:r>
              <w:rPr>
                <w:rFonts w:ascii="Times New Roman" w:hAnsi="Times New Roman"/>
                <w:sz w:val="20"/>
              </w:rPr>
              <w:t>Juli 2026</w:t>
            </w:r>
          </w:p>
        </w:tc>
        <w:tc>
          <w:tcPr>
            <w:tcW w:type="dxa" w:w="4536"/>
          </w:tcPr>
          <w:p>
            <w:r>
              <w:rPr>
                <w:rFonts w:ascii="Times New Roman" w:hAnsi="Times New Roman"/>
                <w:sz w:val="20"/>
              </w:rPr>
              <w:t>Ggf. Vergleichsabschluss oder Eskalation UPC-Hauptverfahren</w:t>
            </w:r>
          </w:p>
        </w:tc>
      </w:tr>
      <w:tr>
        <w:tc>
          <w:tcPr>
            <w:tcW w:type="dxa" w:w="4536"/>
          </w:tcPr>
          <w:p>
            <w:r>
              <w:rPr>
                <w:rFonts w:ascii="Times New Roman" w:hAnsi="Times New Roman"/>
                <w:sz w:val="20"/>
              </w:rPr>
              <w:t>Sept. 2026</w:t>
            </w:r>
          </w:p>
        </w:tc>
        <w:tc>
          <w:tcPr>
            <w:tcW w:type="dxa" w:w="4536"/>
          </w:tcPr>
          <w:p>
            <w:r>
              <w:rPr>
                <w:rFonts w:ascii="Times New Roman" w:hAnsi="Times New Roman"/>
                <w:sz w:val="20"/>
              </w:rPr>
              <w:t>UPC Interim Conference</w:t>
            </w:r>
          </w:p>
        </w:tc>
      </w:tr>
      <w:tr>
        <w:tc>
          <w:tcPr>
            <w:tcW w:type="dxa" w:w="4536"/>
          </w:tcPr>
          <w:p>
            <w:r>
              <w:rPr>
                <w:rFonts w:ascii="Times New Roman" w:hAnsi="Times New Roman"/>
                <w:sz w:val="20"/>
              </w:rPr>
              <w:t>Q4 2026</w:t>
            </w:r>
          </w:p>
        </w:tc>
        <w:tc>
          <w:tcPr>
            <w:tcW w:type="dxa" w:w="4536"/>
          </w:tcPr>
          <w:p>
            <w:r>
              <w:rPr>
                <w:rFonts w:ascii="Times New Roman" w:hAnsi="Times New Roman"/>
                <w:sz w:val="20"/>
              </w:rPr>
              <w:t>GeschG-Verfahren: Sachverständigenanhörung</w:t>
            </w:r>
          </w:p>
        </w:tc>
      </w:tr>
      <w:tr>
        <w:tc>
          <w:tcPr>
            <w:tcW w:type="dxa" w:w="4536"/>
          </w:tcPr>
          <w:p>
            <w:r>
              <w:rPr>
                <w:rFonts w:ascii="Times New Roman" w:hAnsi="Times New Roman"/>
                <w:sz w:val="20"/>
              </w:rPr>
              <w:t>Jan. 2027</w:t>
            </w:r>
          </w:p>
        </w:tc>
        <w:tc>
          <w:tcPr>
            <w:tcW w:type="dxa" w:w="4536"/>
          </w:tcPr>
          <w:p>
            <w:r>
              <w:rPr>
                <w:rFonts w:ascii="Times New Roman" w:hAnsi="Times New Roman"/>
                <w:sz w:val="20"/>
              </w:rPr>
              <w:t>UPC mündliche Verhandlung (Hauptsache, vorläufig)</w:t>
            </w:r>
          </w:p>
        </w:tc>
      </w:tr>
    </w:tbl>
    <w:p/>
    <w:p>
      <w:pPr>
        <w:jc w:val="left"/>
      </w:pPr>
      <w:r>
        <w:rPr>
          <w:i/>
        </w:rPr>
        <w:t>Quellen: § 43a BRAO (Verschwiegenheitspflicht); Art. 59 UPCA (Beweissicherung); allgemeine anwaltliche Kommunikationspflichten.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