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Kosten und Streitwertkalkulation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Datum:</w:t>
      </w:r>
      <w:r>
        <w:t xml:space="preserve"> 18. April 2026</w:t>
      </w:r>
    </w:p>
    <w:p>
      <w:pPr>
        <w:jc w:val="left"/>
      </w:pPr>
      <w:r>
        <w:rPr>
          <w:b/>
        </w:rPr>
        <w:t>Bearbeiter:</w:t>
      </w:r>
      <w:r>
        <w:t xml:space="preserve"> RA Tobias Fehrenbach / RA Dr. Birkenhainer</w:t>
      </w:r>
    </w:p>
    <w:p/>
    <w:p>
      <w:pPr>
        <w:pStyle w:val="Heading2"/>
      </w:pPr>
      <w:r>
        <w:rPr>
          <w:rFonts w:ascii="Times New Roman" w:hAnsi="Times New Roman"/>
        </w:rPr>
        <w:t>1. Streitwerte der Einzelverfahren</w:t>
      </w:r>
    </w:p>
    <w:p>
      <w:pPr>
        <w:jc w:val="left"/>
      </w:pPr>
      <w:r>
        <w:t>Die Streitwertfestsetzung beeinflusst die Gerichtsgebühren und die gesetzlichen Anwaltsgebühren nach RVG. Nachfolgend werden die Streitwerte der Einzelverfahren geschätzt und begründet.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Streitwert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ACT_0188/2026 (Patent, Hauptsache)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Wirtschaftlicher Wert des Patents; Verletzungsumsatz × 3 (Üblichkeit in Patentstreitigkeiten)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EVF_0044/2026 (EV)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1/3 des Hauptsachestreitwerts (UPC-Praxis)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 (Marke, Hauptsache)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Markenwert und Verletzungsumsatz unter dem Zeichen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 (Marke-EV)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1/2 des Hauptsachestreitwerts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 (GeschG)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Wirtschaftlicher Wert der entwendeten Konstruktionsdaten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 4 Ni 18/26 (Nichtigkeitsklage)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Regelwert wichtiges Patent; orientiert an Verletzungsstreitwert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Frankfurt (Grenzbeschlagnahme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der beschlagnahmten Waren + Unterlassungsinteresse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Gerichtsgebühren</w:t>
      </w:r>
    </w:p>
    <w:p>
      <w:pPr>
        <w:pStyle w:val="Heading3"/>
      </w:pPr>
      <w:r>
        <w:rPr>
          <w:rFonts w:ascii="Times New Roman" w:hAnsi="Times New Roman"/>
        </w:rPr>
        <w:t>2.1 UPC-Verfahren</w:t>
      </w:r>
    </w:p>
    <w:p>
      <w:pPr>
        <w:jc w:val="left"/>
      </w:pPr>
      <w:r>
        <w:t>UPC-Gerichtsgebühren werden nach dem Annex I des UPC Court Fees Agreement (EUR-Lex) berechnet: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Festgebühr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Streitwertgebühr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Hauptsacheklage ACT_0188/2026 (SW 4,5 Mio.)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EV-Antrag EVF_0044/2026 (SW 1,5 Mio.)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UPC (vorläufig)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26.000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Nationale Gerichte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Gerichtsgebühren (GKG)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 Hauptsache (SW 500.000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8.460 EUR (3,0-fache Gebühr GKG Nr. 1210)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 EV (SW 250.000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2.820 EUR (1,5-fache Gebühr)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 (SW 500.000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8.460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Nichtigkeitsklage (SW 1,5 Mio.)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5.880 EUR (§ 2 PatKostG, Gebühr Klage Nichtigkeitssache)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Grenzbeschlagnahme EV (SW 100.000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1.710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national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27.330 EUR</w:t>
            </w:r>
          </w:p>
        </w:tc>
      </w:tr>
    </w:tbl>
    <w:p>
      <w:pPr>
        <w:jc w:val="left"/>
      </w:pPr>
      <w:r>
        <w:rPr>
          <w:b/>
        </w:rPr>
        <w:t>Gerichtsgebühren gesamt:</w:t>
      </w:r>
      <w:r>
        <w:t xml:space="preserve"> ca. </w:t>
      </w:r>
      <w:r>
        <w:rPr>
          <w:b/>
        </w:rPr>
        <w:t>53.000 EUR</w:t>
      </w:r>
      <w:r>
        <w:t xml:space="preserve"> (Kläger vorschussweise; Erstattung durch Beklagte bei Obsiegen).</w:t>
      </w:r>
    </w:p>
    <w:p/>
    <w:p>
      <w:pPr>
        <w:pStyle w:val="Heading2"/>
      </w:pPr>
      <w:r>
        <w:rPr>
          <w:rFonts w:ascii="Times New Roman" w:hAnsi="Times New Roman"/>
        </w:rPr>
        <w:t>3. Anwaltsgebühren</w:t>
      </w:r>
    </w:p>
    <w:p>
      <w:pPr>
        <w:pStyle w:val="Heading3"/>
      </w:pPr>
      <w:r>
        <w:rPr>
          <w:rFonts w:ascii="Times New Roman" w:hAnsi="Times New Roman"/>
        </w:rPr>
        <w:t>3.1 Birkenhainer &amp; Consulting (nach Stundenhonorar, Schätzung bis 31.12.2026)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 (geschätzt)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Stundensatz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Mandatsannahme, Strategie, Koordination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Marke: Abmahnung, EV-Antrag, Hauptsache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GeschG: Sachverhaltsaufarbeitung, 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Zoll: Antrag, Korrespondenz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Vergleichsgespräche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Allgemeine Koordination, Mandate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Birkenhainer &amp; Consulting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115.500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Rademakers IP (UPC-Verfahren)</w:t>
      </w:r>
    </w:p>
    <w:p>
      <w:pPr>
        <w:jc w:val="left"/>
      </w:pPr>
      <w:r>
        <w:t xml:space="preserve">Stundenhonorar ca. 400 EUR/h; geschätzter Aufwand bis Ende 2026: ca. 120 Stunden = </w:t>
      </w:r>
      <w:r>
        <w:rPr>
          <w:b/>
        </w:rPr>
        <w:t>48.000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3.3 Gruhl &amp; Teichmann (BPatG-Verfahren)</w:t>
      </w:r>
    </w:p>
    <w:p>
      <w:pPr>
        <w:jc w:val="left"/>
      </w:pPr>
      <w:r>
        <w:t xml:space="preserve">Stundenhonorar ca. 380 EUR/h; geschätzter Aufwand bis Klageerwiderung + Vorbereitung: ca. 80 Stunden = </w:t>
      </w:r>
      <w:r>
        <w:rPr>
          <w:b/>
        </w:rPr>
        <w:t>30.400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3.4 Sachverständiger Dr. Morbach</w:t>
      </w:r>
    </w:p>
    <w:p>
      <w:pPr>
        <w:jc w:val="left"/>
      </w:pPr>
      <w:r>
        <w:t xml:space="preserve">Stundenhonorar 280 EUR/h; Gutachten + Ergänzungen geschätzt 60 Stunden = </w:t>
      </w:r>
      <w:r>
        <w:rPr>
          <w:b/>
        </w:rPr>
        <w:t>16.800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3.5 IT-Forensik Accenture Security GmbH</w:t>
      </w:r>
    </w:p>
    <w:p>
      <w:pPr>
        <w:jc w:val="left"/>
      </w:pPr>
      <w:r>
        <w:t xml:space="preserve">Pauschale für Forensikbericht: </w:t>
      </w:r>
      <w:r>
        <w:rPr>
          <w:b/>
        </w:rPr>
        <w:t>22.000 EUR</w:t>
      </w:r>
      <w:r>
        <w:t xml:space="preserve"> (bereits angefallen).</w:t>
      </w:r>
    </w:p>
    <w:p/>
    <w:p>
      <w:pPr>
        <w:pStyle w:val="Heading2"/>
      </w:pPr>
      <w:r>
        <w:rPr>
          <w:rFonts w:ascii="Times New Roman" w:hAnsi="Times New Roman"/>
        </w:rPr>
        <w:t>4. Gesamtkostenschätzung (bis Ende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(alle 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Birkenhainer &amp; Consulting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Rademakers IP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Gruhl &amp; Teichmann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Sachverständiger Dr. Morbach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IT-Forensik Accenture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Sicherheitsleistung UPC (Bürgschaft)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800.000 (Eventualverbindlichkeit)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Sicherheitsleistung Zoll (Bürgschaft)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(Eventualverbindlichkeit)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Reisen, Übersetzungen, Nebenkosten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Gesamtkosten ohne Bürgschaften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300.700</w:t>
            </w:r>
          </w:p>
        </w:tc>
      </w:tr>
    </w:tbl>
    <w:p>
      <w:pPr>
        <w:jc w:val="left"/>
      </w:pPr>
      <w:r>
        <w:t>Die Bürgschaften (850.000 EUR) sind Eventualverbindlichkeiten und werden nur fällig, wenn die Maßnahmen ungerechtfertigt waren.</w:t>
      </w:r>
    </w:p>
    <w:p/>
    <w:p>
      <w:pPr>
        <w:pStyle w:val="Heading2"/>
      </w:pPr>
      <w:r>
        <w:rPr>
          <w:rFonts w:ascii="Times New Roman" w:hAnsi="Times New Roman"/>
        </w:rPr>
        <w:t>5. Kostenerstattung und Prozessrisiko</w:t>
      </w:r>
    </w:p>
    <w:p>
      <w:pPr>
        <w:jc w:val="left"/>
      </w:pPr>
      <w:r>
        <w:t>Im Falle des vollständigen Obsiegens werden die Prozesskosten gem. § 91 ZPO (national) und Regel 151 UPC Rules of Procedure (UPC) der Gegenseite auferlegt. Erstattungsfähig sind:</w:t>
      </w:r>
    </w:p>
    <w:p>
      <w:pPr>
        <w:pStyle w:val="ListBullet"/>
      </w:pPr>
      <w:r>
        <w:t>Gerichtsgebühren: vollständig</w:t>
      </w:r>
    </w:p>
    <w:p>
      <w:pPr>
        <w:pStyle w:val="ListBullet"/>
      </w:pPr>
      <w:r>
        <w:t>Anwaltsgebühren: nach UPC-Praxis die tatsächlichen, angemessenen Gebühren bis zur Höhe des Kostendeckels (UPC Court Fees Agreement, Art. 69a: Ceiling je nach Streitwert; bei SW 4,5 Mio. EUR: ca. 38.000 EUR)</w:t>
      </w:r>
    </w:p>
    <w:p>
      <w:pPr>
        <w:pStyle w:val="ListBullet"/>
      </w:pPr>
      <w:r>
        <w:t>National (RVG): nur gesetzliche Gebühren, nicht Stundenhonorar → Differenz trägt Mandantin</w:t>
      </w:r>
    </w:p>
    <w:p>
      <w:pPr>
        <w:jc w:val="left"/>
      </w:pPr>
      <w:r>
        <w:rPr>
          <w:b/>
        </w:rPr>
        <w:t>Netto-Kostenrisiko Mandantin (im Siegfall):</w:t>
      </w:r>
      <w:r>
        <w:t xml:space="preserve"> ca. 200.000–250.000 EUR (nicht erstattungsfähige Stundenhonorar-Differenz + nicht erstattungsfähige Sachverständigenkosten).</w:t>
      </w:r>
    </w:p>
    <w:p>
      <w:pPr>
        <w:jc w:val="left"/>
      </w:pPr>
      <w:r>
        <w:t>Bei vollständigem Unterliegen (Patentnichtigkeit + Markenniederlage): Erstattungspflicht Prozesskosten Beklagte, geschätzt ca. 80.000–120.000 EUR zusätzlich.</w:t>
      </w:r>
    </w:p>
    <w:p/>
    <w:p>
      <w:pPr>
        <w:jc w:val="left"/>
      </w:pPr>
      <w:r>
        <w:rPr>
          <w:i/>
        </w:rPr>
        <w:t>Quellen: GKG Anlage (dejure.org); § 91 ZPO (dejure.org); Regel 151 UPC Rules of Procedure (EUR-Lex); Annex I UPC Court Fees Agreement (EUR-Lex); § 2 PatKostG.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