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20 — Beweisaufnahme und Sachverständigengutachten</w:t>
      </w:r>
    </w:p>
    <w:p>
      <w:pPr>
        <w:jc w:val="left"/>
      </w:pPr>
      <w:r>
        <w:rPr>
          <w:b/>
        </w:rPr>
        <w:t>Aktenzeichen intern:</w:t>
      </w:r>
      <w:r>
        <w:t xml:space="preserve"> VM-2026-GR-001</w:t>
      </w:r>
    </w:p>
    <w:p>
      <w:pPr>
        <w:jc w:val="left"/>
      </w:pPr>
      <w:r>
        <w:rPr>
          <w:b/>
        </w:rPr>
        <w:t>Datum:</w:t>
      </w:r>
      <w:r>
        <w:t xml:space="preserve"> 02. April 2026</w:t>
      </w:r>
    </w:p>
    <w:p>
      <w:pPr>
        <w:jc w:val="left"/>
      </w:pPr>
      <w:r>
        <w:rPr>
          <w:b/>
        </w:rPr>
        <w:t>Bearbeiter:</w:t>
      </w:r>
      <w:r>
        <w:t xml:space="preserve"> PatAnw. Dr. Gruhl / RA Dr. Birkenhainer</w:t>
      </w:r>
    </w:p>
    <w:p/>
    <w:p>
      <w:pPr>
        <w:pStyle w:val="Heading2"/>
      </w:pPr>
      <w:r>
        <w:rPr>
          <w:rFonts w:ascii="Times New Roman" w:hAnsi="Times New Roman"/>
        </w:rPr>
        <w:t>1. Beweisthemen</w:t>
      </w:r>
    </w:p>
    <w:p>
      <w:pPr>
        <w:jc w:val="left"/>
      </w:pPr>
      <w:r>
        <w:t>Im Rahmen der verschiedenen Verfahren sind folgende Tatsachenfragen durch Beweise zu klären: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Beweisthema</w:t>
            </w:r>
          </w:p>
        </w:tc>
        <w:tc>
          <w:tcPr>
            <w:tcW w:type="dxa" w:w="3024"/>
          </w:tcPr>
          <w:p>
            <w:r>
              <w:rPr>
                <w:rFonts w:ascii="Times New Roman" w:hAnsi="Times New Roman"/>
                <w:b/>
                <w:sz w:val="20"/>
              </w:rPr>
              <w:t>Verfahren</w:t>
            </w:r>
          </w:p>
        </w:tc>
        <w:tc>
          <w:tcPr>
            <w:tcW w:type="dxa" w:w="3024"/>
          </w:tcPr>
          <w:p>
            <w:r>
              <w:rPr>
                <w:rFonts w:ascii="Times New Roman" w:hAnsi="Times New Roman"/>
                <w:b/>
                <w:sz w:val="20"/>
              </w:rPr>
              <w:t>Beweismittel</w:t>
            </w:r>
          </w:p>
        </w:tc>
      </w:tr>
      <w:tr>
        <w:tc>
          <w:tcPr>
            <w:tcW w:type="dxa" w:w="3024"/>
          </w:tcPr>
          <w:p>
            <w:r>
              <w:rPr>
                <w:rFonts w:ascii="Times New Roman" w:hAnsi="Times New Roman"/>
                <w:sz w:val="20"/>
              </w:rPr>
              <w:t>Wortsinngemäße Verletzung EP 3 218 922 B1 durch TitanFlex Pro</w:t>
            </w:r>
          </w:p>
        </w:tc>
        <w:tc>
          <w:tcPr>
            <w:tcW w:type="dxa" w:w="3024"/>
          </w:tcPr>
          <w:p>
            <w:r>
              <w:rPr>
                <w:rFonts w:ascii="Times New Roman" w:hAnsi="Times New Roman"/>
                <w:sz w:val="20"/>
              </w:rPr>
              <w:t>UPC ACT_0188/2026</w:t>
            </w:r>
          </w:p>
        </w:tc>
        <w:tc>
          <w:tcPr>
            <w:tcW w:type="dxa" w:w="3024"/>
          </w:tcPr>
          <w:p>
            <w:r>
              <w:rPr>
                <w:rFonts w:ascii="Times New Roman" w:hAnsi="Times New Roman"/>
                <w:sz w:val="20"/>
              </w:rPr>
              <w:t>Sachverständigengutachten Dr. Morbach; µ-CT-Analyse; CE-Dokumenation</w:t>
            </w:r>
          </w:p>
        </w:tc>
      </w:tr>
      <w:tr>
        <w:tc>
          <w:tcPr>
            <w:tcW w:type="dxa" w:w="3024"/>
          </w:tcPr>
          <w:p>
            <w:r>
              <w:rPr>
                <w:rFonts w:ascii="Times New Roman" w:hAnsi="Times New Roman"/>
                <w:sz w:val="20"/>
              </w:rPr>
              <w:t>Äquivalenz (hilfsweise)</w:t>
            </w:r>
          </w:p>
        </w:tc>
        <w:tc>
          <w:tcPr>
            <w:tcW w:type="dxa" w:w="3024"/>
          </w:tcPr>
          <w:p>
            <w:r>
              <w:rPr>
                <w:rFonts w:ascii="Times New Roman" w:hAnsi="Times New Roman"/>
                <w:sz w:val="20"/>
              </w:rPr>
              <w:t>UPC ACT_0188/2026</w:t>
            </w:r>
          </w:p>
        </w:tc>
        <w:tc>
          <w:tcPr>
            <w:tcW w:type="dxa" w:w="3024"/>
          </w:tcPr>
          <w:p>
            <w:r>
              <w:rPr>
                <w:rFonts w:ascii="Times New Roman" w:hAnsi="Times New Roman"/>
                <w:sz w:val="20"/>
              </w:rPr>
              <w:t>Gutachten Dr. Morbach; Fachliteratur</w:t>
            </w:r>
          </w:p>
        </w:tc>
      </w:tr>
      <w:tr>
        <w:tc>
          <w:tcPr>
            <w:tcW w:type="dxa" w:w="3024"/>
          </w:tcPr>
          <w:p>
            <w:r>
              <w:rPr>
                <w:rFonts w:ascii="Times New Roman" w:hAnsi="Times New Roman"/>
                <w:sz w:val="20"/>
              </w:rPr>
              <w:t>Gültigkeit EP 3 218 922 B1 (Neuheit, erf. Tätigkeit)</w:t>
            </w:r>
          </w:p>
        </w:tc>
        <w:tc>
          <w:tcPr>
            <w:tcW w:type="dxa" w:w="3024"/>
          </w:tcPr>
          <w:p>
            <w:r>
              <w:rPr>
                <w:rFonts w:ascii="Times New Roman" w:hAnsi="Times New Roman"/>
                <w:sz w:val="20"/>
              </w:rPr>
              <w:t>BPatG 4 Ni 18/26</w:t>
            </w:r>
          </w:p>
        </w:tc>
        <w:tc>
          <w:tcPr>
            <w:tcW w:type="dxa" w:w="3024"/>
          </w:tcPr>
          <w:p>
            <w:r>
              <w:rPr>
                <w:rFonts w:ascii="Times New Roman" w:hAnsi="Times New Roman"/>
                <w:sz w:val="20"/>
              </w:rPr>
              <w:t>Gutachten Gruhl &amp; Teichmann; Laborberichte Vellbruck; Prüfungsakte EPA</w:t>
            </w:r>
          </w:p>
        </w:tc>
      </w:tr>
      <w:tr>
        <w:tc>
          <w:tcPr>
            <w:tcW w:type="dxa" w:w="3024"/>
          </w:tcPr>
          <w:p>
            <w:r>
              <w:rPr>
                <w:rFonts w:ascii="Times New Roman" w:hAnsi="Times New Roman"/>
                <w:sz w:val="20"/>
              </w:rPr>
              <w:t>Verletzung UM 018-882-188 (Verwechslungsgefahr)</w:t>
            </w:r>
          </w:p>
        </w:tc>
        <w:tc>
          <w:tcPr>
            <w:tcW w:type="dxa" w:w="3024"/>
          </w:tcPr>
          <w:p>
            <w:r>
              <w:rPr>
                <w:rFonts w:ascii="Times New Roman" w:hAnsi="Times New Roman"/>
                <w:sz w:val="20"/>
              </w:rPr>
              <w:t>LG Stuttgart</w:t>
            </w:r>
          </w:p>
        </w:tc>
        <w:tc>
          <w:tcPr>
            <w:tcW w:type="dxa" w:w="3024"/>
          </w:tcPr>
          <w:p>
            <w:r>
              <w:rPr>
                <w:rFonts w:ascii="Times New Roman" w:hAnsi="Times New Roman"/>
                <w:sz w:val="20"/>
              </w:rPr>
              <w:t>Produktkataloge; Screenshots; Verkehrskreisbefragung</w:t>
            </w:r>
          </w:p>
        </w:tc>
      </w:tr>
      <w:tr>
        <w:tc>
          <w:tcPr>
            <w:tcW w:type="dxa" w:w="3024"/>
          </w:tcPr>
          <w:p>
            <w:r>
              <w:rPr>
                <w:rFonts w:ascii="Times New Roman" w:hAnsi="Times New Roman"/>
                <w:sz w:val="20"/>
              </w:rPr>
              <w:t>Entwendung Konstruktionsdaten (§ 4 GeschG)</w:t>
            </w:r>
          </w:p>
        </w:tc>
        <w:tc>
          <w:tcPr>
            <w:tcW w:type="dxa" w:w="3024"/>
          </w:tcPr>
          <w:p>
            <w:r>
              <w:rPr>
                <w:rFonts w:ascii="Times New Roman" w:hAnsi="Times New Roman"/>
                <w:sz w:val="20"/>
              </w:rPr>
              <w:t>LG Stuttgart</w:t>
            </w:r>
          </w:p>
        </w:tc>
        <w:tc>
          <w:tcPr>
            <w:tcW w:type="dxa" w:w="3024"/>
          </w:tcPr>
          <w:p>
            <w:r>
              <w:rPr>
                <w:rFonts w:ascii="Times New Roman" w:hAnsi="Times New Roman"/>
                <w:sz w:val="20"/>
              </w:rPr>
              <w:t>IT-Forensikbericht Accenture; Zeuge Drostmann; Dateilog-Auswertung PLM</w:t>
            </w:r>
          </w:p>
        </w:tc>
      </w:tr>
      <w:tr>
        <w:tc>
          <w:tcPr>
            <w:tcW w:type="dxa" w:w="3024"/>
          </w:tcPr>
          <w:p>
            <w:r>
              <w:rPr>
                <w:rFonts w:ascii="Times New Roman" w:hAnsi="Times New Roman"/>
                <w:sz w:val="20"/>
              </w:rPr>
              <w:t>Schadenshöhe (Lizenzanalogie/entg. Gewinn)</w:t>
            </w:r>
          </w:p>
        </w:tc>
        <w:tc>
          <w:tcPr>
            <w:tcW w:type="dxa" w:w="3024"/>
          </w:tcPr>
          <w:p>
            <w:r>
              <w:rPr>
                <w:rFonts w:ascii="Times New Roman" w:hAnsi="Times New Roman"/>
                <w:sz w:val="20"/>
              </w:rPr>
              <w:t>UPC Betragsverfahren</w:t>
            </w:r>
          </w:p>
        </w:tc>
        <w:tc>
          <w:tcPr>
            <w:tcW w:type="dxa" w:w="3024"/>
          </w:tcPr>
          <w:p>
            <w:r>
              <w:rPr>
                <w:rFonts w:ascii="Times New Roman" w:hAnsi="Times New Roman"/>
                <w:sz w:val="20"/>
              </w:rPr>
              <w:t>Auskunft Beklagte § 140b PatG; Wirtschaftsgutachten</w:t>
            </w:r>
          </w:p>
        </w:tc>
      </w:tr>
      <w:tr>
        <w:tc>
          <w:tcPr>
            <w:tcW w:type="dxa" w:w="3024"/>
          </w:tcPr>
          <w:p>
            <w:r>
              <w:rPr>
                <w:rFonts w:ascii="Times New Roman" w:hAnsi="Times New Roman"/>
                <w:sz w:val="20"/>
              </w:rPr>
              <w:t>Verletzungsumsatz Bochstaedt</w:t>
            </w:r>
          </w:p>
        </w:tc>
        <w:tc>
          <w:tcPr>
            <w:tcW w:type="dxa" w:w="3024"/>
          </w:tcPr>
          <w:p>
            <w:r>
              <w:rPr>
                <w:rFonts w:ascii="Times New Roman" w:hAnsi="Times New Roman"/>
                <w:sz w:val="20"/>
              </w:rPr>
              <w:t>UPC Betragsverfahren</w:t>
            </w:r>
          </w:p>
        </w:tc>
        <w:tc>
          <w:tcPr>
            <w:tcW w:type="dxa" w:w="3024"/>
          </w:tcPr>
          <w:p>
            <w:r>
              <w:rPr>
                <w:rFonts w:ascii="Times New Roman" w:hAnsi="Times New Roman"/>
                <w:sz w:val="20"/>
              </w:rPr>
              <w:t>Rechnungslegung Beklagte; Auskunft Kliniken</w:t>
            </w:r>
          </w:p>
        </w:tc>
      </w:tr>
    </w:tbl>
    <w:p/>
    <w:p>
      <w:pPr>
        <w:pStyle w:val="Heading2"/>
      </w:pPr>
      <w:r>
        <w:rPr>
          <w:rFonts w:ascii="Times New Roman" w:hAnsi="Times New Roman"/>
        </w:rPr>
        <w:t>2. Sachverständigengutachten Dr. Peter Morbach</w:t>
      </w:r>
    </w:p>
    <w:p>
      <w:pPr>
        <w:pStyle w:val="Heading3"/>
      </w:pPr>
      <w:r>
        <w:rPr>
          <w:rFonts w:ascii="Times New Roman" w:hAnsi="Times New Roman"/>
        </w:rPr>
        <w:t>2.1 Beauftragung</w:t>
      </w:r>
    </w:p>
    <w:p>
      <w:pPr>
        <w:jc w:val="left"/>
      </w:pPr>
      <w:r>
        <w:t>Dr. habil. Peter Morbach, Professor em. für Werkstoffkunde und Titanverarbeitung an der TU Dortmund, wurde am 01. März 2026 durch die Kanzlei Birkenhainer &amp; Consulting als Privatgutachter beauftragt. Die Beauftragung erfolgt für:</w:t>
      </w:r>
    </w:p>
    <w:p>
      <w:pPr>
        <w:pStyle w:val="ListNumber"/>
      </w:pPr>
      <w:r>
        <w:t>Technisches Parteigutachten zur Verletzung des EP 3 218 922 B1 durch TitanFlex Pro</w:t>
      </w:r>
    </w:p>
    <w:p>
      <w:pPr>
        <w:pStyle w:val="ListNumber"/>
      </w:pPr>
      <w:r>
        <w:t>Verletzungs- und Äquivalenzanalyse (Merkmal-für-Merkmal)</w:t>
      </w:r>
    </w:p>
    <w:p>
      <w:pPr>
        <w:pStyle w:val="ListNumber"/>
      </w:pPr>
      <w:r>
        <w:t>Analyse der Konstruktionsdaten-Ähnlichkeit (GeschG-Dimension)</w:t>
      </w:r>
    </w:p>
    <w:p>
      <w:pPr>
        <w:jc w:val="left"/>
      </w:pPr>
      <w:r>
        <w:t>Begründung der Auswahl: Dr. Morbach ist einer der führenden deutschen Experten auf dem Gebiet der Titanverarbeitung durch selektives Lasersintern und war in zwei früheren Patentstreitigkeiten im Medizinbereich als gerichtlicher Sachverständiger tätig (BGH X ZR 72/13, openjur.de; LG Mannheim 2 O 123/19, openjur.de).</w:t>
      </w:r>
    </w:p>
    <w:p>
      <w:pPr>
        <w:pStyle w:val="Heading3"/>
      </w:pPr>
      <w:r>
        <w:rPr>
          <w:rFonts w:ascii="Times New Roman" w:hAnsi="Times New Roman"/>
        </w:rPr>
        <w:t>2.2 Beauftragungsgegenstand</w:t>
      </w:r>
    </w:p>
    <w:p>
      <w:pPr>
        <w:jc w:val="left"/>
      </w:pPr>
      <w:r>
        <w:rPr>
          <w:b/>
        </w:rPr>
        <w:t>Fragen an Dr. Morbach:</w:t>
      </w:r>
    </w:p>
    <w:p>
      <w:pPr>
        <w:pStyle w:val="ListNumber"/>
      </w:pPr>
      <w:r>
        <w:t>Verwirklicht das Produkt TitanFlex Pro der TitanOrtho Sp. z o.o. (CE-Dokumenation Anlage A-05) die Merkmale (a) bis (e) des Anspruchs 1 des EP 3 218 922 B1 dem Wortlaut nach?</w:t>
      </w:r>
    </w:p>
    <w:p>
      <w:pPr>
        <w:pStyle w:val="ListNumber"/>
      </w:pPr>
      <w:r>
        <w:t>Falls nein: Sind die nicht verwirklichten Merkmale durch gleichwirkende Mittel im Sinne des Äquivalenzschutzes (§ 14 PatG i.V.m. Art. 69 EPÜ) verwirklicht?</w:t>
      </w:r>
    </w:p>
    <w:p>
      <w:pPr>
        <w:pStyle w:val="ListNumber"/>
      </w:pPr>
      <w:r>
        <w:t>Sind die in Anlage A-13 (IT-Forensikbericht) genannten Konstruktionsdaten-Dateien in der Konstruktion des TitanFlex Pro technisch erkennbar wiederzufinden, d.h. entsprechen die strukturellen Merkmale des TitanFlex Pro den Vorgaben der entwendeten Dateien über das hinaus, was allein durch das Patent offenbart wurde?</w:t>
      </w:r>
    </w:p>
    <w:p>
      <w:pPr>
        <w:pStyle w:val="Heading3"/>
      </w:pPr>
      <w:r>
        <w:rPr>
          <w:rFonts w:ascii="Times New Roman" w:hAnsi="Times New Roman"/>
        </w:rPr>
        <w:t>2.3 Zeitplan und Stand des Gutachtens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Meilenstein</w:t>
            </w:r>
          </w:p>
        </w:tc>
      </w:tr>
      <w:tr>
        <w:tc>
          <w:tcPr>
            <w:tcW w:type="dxa" w:w="4536"/>
          </w:tcPr>
          <w:p>
            <w:r>
              <w:rPr>
                <w:rFonts w:ascii="Times New Roman" w:hAnsi="Times New Roman"/>
                <w:sz w:val="20"/>
              </w:rPr>
              <w:t>01.03.2026</w:t>
            </w:r>
          </w:p>
        </w:tc>
        <w:tc>
          <w:tcPr>
            <w:tcW w:type="dxa" w:w="4536"/>
          </w:tcPr>
          <w:p>
            <w:r>
              <w:rPr>
                <w:rFonts w:ascii="Times New Roman" w:hAnsi="Times New Roman"/>
                <w:sz w:val="20"/>
              </w:rPr>
              <w:t>Beauftragung Dr. Morbach</w:t>
            </w:r>
          </w:p>
        </w:tc>
      </w:tr>
      <w:tr>
        <w:tc>
          <w:tcPr>
            <w:tcW w:type="dxa" w:w="4536"/>
          </w:tcPr>
          <w:p>
            <w:r>
              <w:rPr>
                <w:rFonts w:ascii="Times New Roman" w:hAnsi="Times New Roman"/>
                <w:sz w:val="20"/>
              </w:rPr>
              <w:t>15.03.2026</w:t>
            </w:r>
          </w:p>
        </w:tc>
        <w:tc>
          <w:tcPr>
            <w:tcW w:type="dxa" w:w="4536"/>
          </w:tcPr>
          <w:p>
            <w:r>
              <w:rPr>
                <w:rFonts w:ascii="Times New Roman" w:hAnsi="Times New Roman"/>
                <w:sz w:val="20"/>
              </w:rPr>
              <w:t>Übermittlung Untersuchungsmaterial (3 TitanFlex Pro-Muster, Originalware Vellbruck, CAD-Dateien)</w:t>
            </w:r>
          </w:p>
        </w:tc>
      </w:tr>
      <w:tr>
        <w:tc>
          <w:tcPr>
            <w:tcW w:type="dxa" w:w="4536"/>
          </w:tcPr>
          <w:p>
            <w:r>
              <w:rPr>
                <w:rFonts w:ascii="Times New Roman" w:hAnsi="Times New Roman"/>
                <w:sz w:val="20"/>
              </w:rPr>
              <w:t>18.03.2026</w:t>
            </w:r>
          </w:p>
        </w:tc>
        <w:tc>
          <w:tcPr>
            <w:tcW w:type="dxa" w:w="4536"/>
          </w:tcPr>
          <w:p>
            <w:r>
              <w:rPr>
                <w:rFonts w:ascii="Times New Roman" w:hAnsi="Times New Roman"/>
                <w:sz w:val="20"/>
              </w:rPr>
              <w:t>Zusätzliche Muster aus Grenzbeschlagnahme Frankfurt</w:t>
            </w:r>
          </w:p>
        </w:tc>
      </w:tr>
      <w:tr>
        <w:tc>
          <w:tcPr>
            <w:tcW w:type="dxa" w:w="4536"/>
          </w:tcPr>
          <w:p>
            <w:r>
              <w:rPr>
                <w:rFonts w:ascii="Times New Roman" w:hAnsi="Times New Roman"/>
                <w:sz w:val="20"/>
              </w:rPr>
              <w:t>28.03.2026</w:t>
            </w:r>
          </w:p>
        </w:tc>
        <w:tc>
          <w:tcPr>
            <w:tcW w:type="dxa" w:w="4536"/>
          </w:tcPr>
          <w:p>
            <w:r>
              <w:rPr>
                <w:rFonts w:ascii="Times New Roman" w:hAnsi="Times New Roman"/>
                <w:sz w:val="20"/>
              </w:rPr>
              <w:t>Zwischenbericht Dr. Morbach (E-Mail): "Wortsinngemäße Verletzung aller 5 Merkmale bestätigt; Äquivalenzanalyse in Bearbeitung; GeschG-Frage komplex, Ergänzung nötig"</w:t>
            </w:r>
          </w:p>
        </w:tc>
      </w:tr>
      <w:tr>
        <w:tc>
          <w:tcPr>
            <w:tcW w:type="dxa" w:w="4536"/>
          </w:tcPr>
          <w:p>
            <w:r>
              <w:rPr>
                <w:rFonts w:ascii="Times New Roman" w:hAnsi="Times New Roman"/>
                <w:sz w:val="20"/>
              </w:rPr>
              <w:t>30.03.2026</w:t>
            </w:r>
          </w:p>
        </w:tc>
        <w:tc>
          <w:tcPr>
            <w:tcW w:type="dxa" w:w="4536"/>
          </w:tcPr>
          <w:p>
            <w:r>
              <w:rPr>
                <w:rFonts w:ascii="Times New Roman" w:hAnsi="Times New Roman"/>
                <w:sz w:val="20"/>
              </w:rPr>
              <w:t>Erstgutachten Dr. Morbach (Anlage PDF-02, redacted)</w:t>
            </w:r>
          </w:p>
        </w:tc>
      </w:tr>
      <w:tr>
        <w:tc>
          <w:tcPr>
            <w:tcW w:type="dxa" w:w="4536"/>
          </w:tcPr>
          <w:p>
            <w:r>
              <w:rPr>
                <w:rFonts w:ascii="Times New Roman" w:hAnsi="Times New Roman"/>
                <w:sz w:val="20"/>
              </w:rPr>
              <w:t>15.04.2026</w:t>
            </w:r>
          </w:p>
        </w:tc>
        <w:tc>
          <w:tcPr>
            <w:tcW w:type="dxa" w:w="4536"/>
          </w:tcPr>
          <w:p>
            <w:r>
              <w:rPr>
                <w:rFonts w:ascii="Times New Roman" w:hAnsi="Times New Roman"/>
                <w:sz w:val="20"/>
              </w:rPr>
              <w:t>Ergänzungsgutachten GeschG-Dimension (in Bearbeitung)</w:t>
            </w:r>
          </w:p>
        </w:tc>
      </w:tr>
    </w:tbl>
    <w:p>
      <w:pPr>
        <w:pStyle w:val="Heading3"/>
      </w:pPr>
      <w:r>
        <w:rPr>
          <w:rFonts w:ascii="Times New Roman" w:hAnsi="Times New Roman"/>
        </w:rPr>
        <w:t>2.4 Wesentliche Ergebnisse (Erstgutachten 30.03.2026, Kurzfassung)</w:t>
      </w:r>
    </w:p>
    <w:p>
      <w:pPr>
        <w:jc w:val="left"/>
      </w:pPr>
      <w:r>
        <w:rPr>
          <w:b/>
        </w:rPr>
        <w:t>Zu Frage 1 (Verletzung, Wortlaut):</w:t>
      </w:r>
    </w:p>
    <w:p>
      <w:pPr>
        <w:jc w:val="left"/>
      </w:pPr>
      <w:r>
        <w:t>"Nach meiner Analyse der vorliegenden technischen Unterlagen und der µ-CT-Messungen [...] ist das Produkt TitanFlex Pro geeignet, alle fünf Merkmale des Anspruchs 1 des EP 3 218 922 B1 dem Wortlaut nach zu verwirklichen. Die gemessene Porosität von 68,4 ± 1,2 % liegt innerhalb des Anspruchsbereichs (65–75 %). Die mittlere Porengröße beträgt 487 ± 22 µm und liegt damit innerhalb des Anspruchsbereichs (400–600 µm). Die drei lateralen Fins weisen einen Neigungswinkel von 10,5° ± 0,3° auf (Anspruchsbereich 8°–15°). Das Herstellungsverfahren ist Selektives Lasersintern (Herstellerangabe bestätigt durch Oberflächenanalyse REM). Alle Merkmale sind damit wortsinngemäß verwirklicht." (Dr. Morbach, Erstgutachten, S. 28)</w:t>
      </w:r>
    </w:p>
    <w:p>
      <w:pPr>
        <w:jc w:val="left"/>
      </w:pPr>
      <w:r>
        <w:rPr>
          <w:b/>
        </w:rPr>
        <w:t>Zu Frage 2 (Äquivalenz):</w:t>
      </w:r>
      <w:r>
        <w:t xml:space="preserve"> Nicht mehr erheblich (wortsinngemäße Verletzung bestätigt). Hilfsweise bestätigt Dr. Morbach Äquivalenz auch für Grenzfälle bis 680 µm Porengröße.</w:t>
      </w:r>
    </w:p>
    <w:p>
      <w:pPr>
        <w:jc w:val="left"/>
      </w:pPr>
      <w:r>
        <w:rPr>
          <w:b/>
        </w:rPr>
        <w:t>Zu Frage 3 (GeschG):</w:t>
      </w:r>
      <w:r>
        <w:t xml:space="preserve"> Ergänzungsgutachten ausstehend. Vorläufige Einschätzung: "Die Fin-Geometrie zeigt Merkmale, die über die Patentoffenbarung hinausgehen und mit den in der Vellbruck-CAD-Datei v8 dokumentierten Konstruktionsdetails übereinstimmen. Eine abschließende Aussage erfordert weitere Analyseschritte."</w:t>
      </w:r>
    </w:p>
    <w:p/>
    <w:p>
      <w:pPr>
        <w:pStyle w:val="Heading2"/>
      </w:pPr>
      <w:r>
        <w:rPr>
          <w:rFonts w:ascii="Times New Roman" w:hAnsi="Times New Roman"/>
        </w:rPr>
        <w:t>3. µ-CT-Analyse (Institut für Materialprüfung Dortmund)</w:t>
      </w:r>
    </w:p>
    <w:p>
      <w:pPr>
        <w:jc w:val="left"/>
      </w:pPr>
      <w:r>
        <w:t>Neben dem Sachverständigengutachten wurde eine unabhängige µ-CT-Analyse (Mikro-Computertomographie) bei einem akkreditierten Institut durchgeführt. Ergebnisse:</w:t>
      </w:r>
    </w:p>
    <w:p>
      <w:pPr>
        <w:pStyle w:val="ListBullet"/>
      </w:pPr>
      <w:r>
        <w:t>Probe 1 (TitanFlex Pro, Schaftlänge 120 mm): Porosität 68,4 %, Porengröße Mittelwert 487 µm</w:t>
      </w:r>
    </w:p>
    <w:p>
      <w:pPr>
        <w:pStyle w:val="ListBullet"/>
      </w:pPr>
      <w:r>
        <w:t>Probe 2 (TitanFlex Pro, Schaftlänge 145 mm): Porosität 69,1 %, Porengröße Mittelwert 492 µm</w:t>
      </w:r>
    </w:p>
    <w:p>
      <w:pPr>
        <w:pStyle w:val="ListBullet"/>
      </w:pPr>
      <w:r>
        <w:t>Vergleich Vellbruck TitanFlex (Originalware): Porosität 71,3 %, Porengröße Mittelwert 521 µm</w:t>
      </w:r>
    </w:p>
    <w:p>
      <w:pPr>
        <w:jc w:val="left"/>
      </w:pPr>
      <w:r>
        <w:t>Beide Proben liegen innerhalb der Anspruchsgrenzen. Die Messwerte sind für das Verletzungsnachweis-Argument eindeutig.</w:t>
      </w:r>
    </w:p>
    <w:p/>
    <w:p>
      <w:pPr>
        <w:pStyle w:val="Heading2"/>
      </w:pPr>
      <w:r>
        <w:rPr>
          <w:rFonts w:ascii="Times New Roman" w:hAnsi="Times New Roman"/>
        </w:rPr>
        <w:t>4. Zeugenbeweis</w:t>
      </w:r>
    </w:p>
    <w:p>
      <w:pPr>
        <w:pStyle w:val="Heading3"/>
      </w:pPr>
      <w:r>
        <w:rPr>
          <w:rFonts w:ascii="Times New Roman" w:hAnsi="Times New Roman"/>
        </w:rPr>
        <w:t>4.1 Dipl.-Ing. Carola Reisemann (Vellbruck)</w:t>
      </w:r>
    </w:p>
    <w:p>
      <w:pPr>
        <w:jc w:val="left"/>
      </w:pPr>
      <w:r>
        <w:t>Als sachverständige Zeugin für den technischen Entwicklungsprozess des EP 3 218 922 B1 wird Dipl.-Ing. Reisemann benannt. Sie kann aus eigener Wahrnehmung zur Entwicklungsgeschichte, zu Drostmanns Rolle und zur Bedeutung der Konstruktionsdaten aussagen.</w:t>
      </w:r>
    </w:p>
    <w:p>
      <w:pPr>
        <w:pStyle w:val="Heading3"/>
      </w:pPr>
      <w:r>
        <w:rPr>
          <w:rFonts w:ascii="Times New Roman" w:hAnsi="Times New Roman"/>
        </w:rPr>
        <w:t>4.2 Dr. Philipp Sonnleitner (Geschäftsführer Vellbruck)</w:t>
      </w:r>
    </w:p>
    <w:p>
      <w:pPr>
        <w:jc w:val="left"/>
      </w:pPr>
      <w:r>
        <w:t>Als Zeuge für den wirtschaftlichen Schaden (Verlust von Aufträgen, Kundengespräche) und zur Mandatsgeschichte.</w:t>
      </w:r>
    </w:p>
    <w:p>
      <w:pPr>
        <w:pStyle w:val="Heading3"/>
      </w:pPr>
      <w:r>
        <w:rPr>
          <w:rFonts w:ascii="Times New Roman" w:hAnsi="Times New Roman"/>
        </w:rPr>
        <w:t>4.3 Dipl.-Ing. Klaus Drostmann</w:t>
      </w:r>
    </w:p>
    <w:p>
      <w:pPr>
        <w:jc w:val="left"/>
      </w:pPr>
      <w:r>
        <w:t>Zeuge für die GeschG-Verletzung; Auskunftsverweigerungsrecht gem. § 384 Nr. 2 ZPO wurde angekündigt. Ggf. Antrag auf Vernehmung beim LG Stuttgart mit richterlicher Belehrung.</w:t>
      </w:r>
    </w:p>
    <w:p/>
    <w:p>
      <w:pPr>
        <w:jc w:val="left"/>
      </w:pPr>
      <w:r>
        <w:rPr>
          <w:i/>
        </w:rPr>
        <w:t>Quellen: § 404 ZPO (dejure.org); § 140b PatG (dejure.org); § 384 ZPO (dejure.org); Art. 60 UPCA (Beweissicherung, EUR-Lex).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