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Chronologie und Zeitachse aller Verfahren</w:t>
      </w:r>
    </w:p>
    <w:p>
      <w:pPr>
        <w:jc w:val="left"/>
      </w:pPr>
      <w:r>
        <w:rPr>
          <w:b/>
        </w:rPr>
        <w:t>Aktenzeichen intern:</w:t>
      </w:r>
      <w:r>
        <w:t xml:space="preserve"> VM-2026-GR-001</w:t>
      </w:r>
    </w:p>
    <w:p>
      <w:pPr>
        <w:jc w:val="left"/>
      </w:pPr>
      <w:r>
        <w:rPr>
          <w:b/>
        </w:rPr>
        <w:t>Datum:</w:t>
      </w:r>
      <w:r>
        <w:t xml:space="preserve"> 20. April 2026 (Stand)</w:t>
      </w:r>
    </w:p>
    <w:p>
      <w:pPr>
        <w:jc w:val="left"/>
      </w:pPr>
      <w:r>
        <w:rPr>
          <w:b/>
        </w:rPr>
        <w:t>Bearbeiter:</w:t>
      </w:r>
      <w:r>
        <w:t xml:space="preserve"> RA Tobias Fehrenbach</w:t>
      </w:r>
    </w:p>
    <w:p/>
    <w:p>
      <w:pPr>
        <w:pStyle w:val="Heading2"/>
      </w:pPr>
      <w:r>
        <w:rPr>
          <w:rFonts w:ascii="Times New Roman" w:hAnsi="Times New Roman"/>
        </w:rPr>
        <w:t>1. Ereignischronologie</w:t>
      </w:r>
    </w:p>
    <w:p>
      <w:pPr>
        <w:pStyle w:val="Heading3"/>
      </w:pPr>
      <w:r>
        <w:rPr>
          <w:rFonts w:ascii="Times New Roman" w:hAnsi="Times New Roman"/>
        </w:rPr>
        <w:t>Phase 0 — Vorgeschichte (2016–2024)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25.08.2016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Anmeldung des Patents EP 3 218 922 beim EPA (Prioritätstag)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01.03.2016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Einstellung Dipl.-Ing. Klaus Drostmann bei Vellbruck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2017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Versuchsreihen zur Osseointegrations-Optimierung (Vellbruck Laborberichte)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22.03.2018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Erteilung EP 3 218 922 B1 durch das EPA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Juni 2018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Erstpräsentation TitanFlex-Produkt auf Medica Düsseldorf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12.07.2019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Eintra­gung UM-Marke 018-882-188 TITANFLEX beim EUIPO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Lizenzvertrag mit Vellbruck MedTech Inc. (USA) für US-Patent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29.11.2023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Kündigung Drostmann (zum 29.02.2024)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08.–28.02.2024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Drostmann greift auf 1.247 PLM-Dateien zu; USB-Transfer 4,2 GB (aufgedeckt Januar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01.03.2024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Drostmann tritt bei Bochstaedt MedSupply OHG 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Herbst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TitanOrtho Sp. z o.o. stellt TitanFlex Pro fertig (CE-Zertifizierung Oktober 2024)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18.10.2024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Erster Vertriebsakt TitanFlex Pro in Deutschland (Lieferschein Bochstaedt)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November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Messe Medizinprodukte-Forum Stuttgart: TitanFlex Pro erstmals öffentlich beworben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Herbst 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Vellbruck MedTech Inc. hinterlegt FRAND-Erklärung bei ASTM International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Phase 1 — Mandatsannahme und Erstmaßnahmen (Januar–Februar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Sonnleitner kontaktiert Kanzlei Birkenhainer telefonisch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Kanzlei München (3 Stunden)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Mandatsannahme; Vollmacht erteilt; Vorschuss 30.000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VM-2026-GR-001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Anmeldung Design DE 88-2026 beim DPMA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Design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 Kostenvorschuss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Abmahnung Marke TITANFLEX an Bochstaedt (Frist: 17.02.2026)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Klageeinreichung UPC Düsseldorf ACT_0188/2026 + Gebühren (13.500 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Dr. Birkenhainer an Kanzlei-intern: Patentverletzungs-Treffer bestätigt (EML-01)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Zurückweisung Abmahnung durch RA Kettner (Bochstaedt)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Eingangsbestätigung UPC Düsseldorf ACT_0188/2026 (EML-02)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Beauftragung Dr. Morbach als Sachverständiger (Vertrag unterzeichnet)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Phase 2 — Klagezustellung und Eskalation (März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EV UPC EVF_0044/2026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EV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UPC-Klage an Bochstaedt MedSupply OHG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UPC-Klage an TitanOrtho Sp. z o.o. (Polen)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Grenzbeschlagnahme Sendung Zhejiang MedTech (Frankfurt Cargo)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Zoll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Grenzbeschlagnahme VO 608/2013 an HZA Frankfurt (EML-03)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Zoll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Erörterungsterm­in EV (Videokonferenz)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EV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 Nichtigkeitsklage Bochstaedt, BPatG München 4 Ni 18/26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Antwortschreiben RA Fehrenbach an HZA Frankfurt (Muster angefordert)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Zoll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Übersendung 2 Muster durch HZA an RA Fehrenbach → weiter an Dr. Morbach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Zoll/Sachv.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BPatG-Klage an Vellbruck (Birkenhainer &amp; Consulting)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UPC: Zwischenverfügung (Kammer signalisiert Begründetheit EV)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EV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Zwischenbericht Dr. Morbach: Verletzung bestätigt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Erstgutachten Dr. Morbach (PDF-02)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Sachv./UPC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Phase 3 — Eskalation und Vergleich (April–Mai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TitanOrtho/RA Kowalczyk: Settlement Proposal (EML-04)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Erstes Sondierungsgespräch Videokonferenz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Gegenangebot Kanzlei Birkenhainer an RA Kowalczyk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Zeugenvorladung Drostmann LG Stuttgart (EML-05)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Zweites Sondierungsgespräch (geplant, München)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Deadline Vergleichseinigung (danach: Fortführung UPC)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Vergleich/UPC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BPatG Frist (Gruhl &amp; Teichmann)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Phase 4 — Prognose (September 2026–Januar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Interim Conference (Art. 104 UPC Rules)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Q4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GeschG: Sachverständigenanhörung LG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Q1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 mündliche Hauptverhandlung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UPC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Q1 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 mündliche Verhandlung (Prognose)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BPatG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Fristenkalender (kritische Fristen, Stand April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 Beklagte UPC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UPC ACT_0188/2026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Gegenseite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Gegenangebot Lizenzrate Mandantin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Vergleich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Birkenhainer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Klageerwiderung BPatG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BPatG 4 Ni 18/26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Gruhl &amp; Teichmann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Verlängerungsgebühr EPA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3 218 922 B1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Vellbruck IP-Abt.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Ergänzungsgutachten Dr. Morbach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UPC/GeschG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Morbach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Marken-EV 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 (Dringlichkeit!)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Birkenhainer</w:t>
            </w:r>
          </w:p>
        </w:tc>
      </w:tr>
    </w:tbl>
    <w:p>
      <w:pPr>
        <w:jc w:val="left"/>
      </w:pPr>
      <w:r>
        <w:rPr>
          <w:b/>
        </w:rPr>
        <w:t>Achtung:</w:t>
      </w:r>
      <w:r>
        <w:t xml:space="preserve"> Die Marken-EV muss zeitnah beantragt werden. In der Rechtsprechung des LG Stuttgart gilt ein Fristablauf von ca. 1 Monat nach Kenntnis der Verletzung als dringlichkeitsschädlich (OLG Stuttgart, 2 U 168/18). Kenntnis bestand seit Januar 2026; Abmahnung Februar 2026; Zurückweisung Februar 2026 → Antrag muss bis Ende April 2026 eingereicht sein.</w:t>
      </w:r>
    </w:p>
    <w:p/>
    <w:p>
      <w:pPr>
        <w:jc w:val="left"/>
      </w:pPr>
      <w:r>
        <w:rPr>
          <w:i/>
        </w:rPr>
        <w:t>Quellen: Regel 23 UPC Rules of Procedure (EUR-Lex); § 84 PatG (dejure.org); Art. 104 UPC Rules (EUR-Lex); OLG Stuttgart 2 U 168/18 (openjur.de).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