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 A — Anspruchsentwurf v0.3</w:t>
      </w:r>
    </w:p>
    <w:p>
      <w:pPr>
        <w:pStyle w:val="Heading2"/>
      </w:pPr>
      <w:r>
        <w:rPr>
          <w:rFonts w:ascii="Times New Roman" w:hAnsi="Times New Roman"/>
        </w:rPr>
        <w:t>Arbeitsanspruch 1</w:t>
      </w:r>
    </w:p>
    <w:p>
      <w:pPr>
        <w:jc w:val="left"/>
      </w:pPr>
      <w:r>
        <w:t>Automatisierte Verschlussvorrichtung für eine Öffnung eines Tierstalls, insbesondere eines Hühnerstalls, mit</w:t>
      </w:r>
    </w:p>
    <w:p>
      <w:pPr>
        <w:jc w:val="left"/>
      </w:pPr>
      <w:r>
        <w:t>a) einem bewegbaren Verschlusselement,</w:t>
      </w:r>
    </w:p>
    <w:p>
      <w:pPr>
        <w:jc w:val="left"/>
      </w:pPr>
      <w:r>
        <w:t>b) einem elektrischen Antrieb zum Bewegen des Verschlusselements zwischen einer geöffneten und einer geschlossenen Stellung,</w:t>
      </w:r>
    </w:p>
    <w:p>
      <w:pPr>
        <w:jc w:val="left"/>
      </w:pPr>
      <w:r>
        <w:t>c) einem Lichtsensor zur Erfassung eines Umgebungshelligkeitswerts,</w:t>
      </w:r>
    </w:p>
    <w:p>
      <w:pPr>
        <w:jc w:val="left"/>
      </w:pPr>
      <w:r>
        <w:t>d) einer Steuereinheit, die abhängig von dem Umgebungshelligkeitswert einen Schließvorgang auslöst,</w:t>
      </w:r>
    </w:p>
    <w:p>
      <w:pPr>
        <w:jc w:val="left"/>
      </w:pPr>
      <w:r>
        <w:t>e) einer Verzögerungslogik, durch die der Schließvorgang nach erstmaligem Unterschreiten eines Helligkeitsschwellenwerts für eine vorbestimmte oder adaptiv bestimmte Wartezeit verzögert wird, und</w:t>
      </w:r>
    </w:p>
    <w:p>
      <w:pPr>
        <w:jc w:val="left"/>
      </w:pPr>
      <w:r>
        <w:t>f) einer Blockiererkennung, durch die eine Bewegung des Verschlusselements bei erkannter Blockade gestoppt oder umgekehrt wird.</w:t>
      </w:r>
    </w:p>
    <w:p>
      <w:pPr>
        <w:pStyle w:val="Heading2"/>
      </w:pPr>
      <w:r>
        <w:rPr>
          <w:rFonts w:ascii="Times New Roman" w:hAnsi="Times New Roman"/>
        </w:rPr>
        <w:t>Mögliche Unteransprüche</w:t>
      </w:r>
    </w:p>
    <w:p>
      <w:pPr>
        <w:pStyle w:val="ListNumber"/>
      </w:pPr>
      <w:r>
        <w:t>Vorrichtung nach Anspruch 1, bei der die Verzögerungslogik mehrere Helligkeitsmessungen über ein Zeitfenster auswertet.</w:t>
      </w:r>
    </w:p>
    <w:p>
      <w:pPr>
        <w:pStyle w:val="ListNumber"/>
      </w:pPr>
      <w:r>
        <w:t>Vorrichtung nach einem der vorhergehenden Ansprüche, bei der die Blockiererkennung einen Motorstrom, eine Drehzahlabweichung oder ein Sensorsignal auswertet.</w:t>
      </w:r>
    </w:p>
    <w:p>
      <w:pPr>
        <w:pStyle w:val="ListNumber"/>
      </w:pPr>
      <w:r>
        <w:t>Vorrichtung nach einem der vorhergehenden Ansprüche, mit einer manuellen Notöffnung.</w:t>
      </w:r>
    </w:p>
    <w:p>
      <w:pPr>
        <w:pStyle w:val="ListNumber"/>
      </w:pPr>
      <w:r>
        <w:t>Vorrichtung nach einem der vorhergehenden Ansprüche, bei der die Energieversorgung über ein Solarmodul und einen Akkumulator erfolgt.</w:t>
      </w:r>
    </w:p>
    <w:p>
      <w:pPr>
        <w:pStyle w:val="ListNumber"/>
      </w:pPr>
      <w:r>
        <w:t>Vorrichtung nach einem der vorhergehenden Ansprüche, bei der ein akustisches oder optisches Warnsignal vor dem Schließen ausgegeben wird.</w:t>
      </w:r>
    </w:p>
    <w:p>
      <w:pPr>
        <w:pStyle w:val="Heading2"/>
      </w:pPr>
      <w:r>
        <w:rPr>
          <w:rFonts w:ascii="Times New Roman" w:hAnsi="Times New Roman"/>
        </w:rPr>
        <w:t>Risiken</w:t>
      </w:r>
    </w:p>
    <w:p>
      <w:pPr>
        <w:pStyle w:val="ListBullet"/>
      </w:pPr>
      <w:r>
        <w:t>Anspruch 1 könnte gegenüber bekannten Dämmerungsklappen zu breit sein.</w:t>
      </w:r>
    </w:p>
    <w:p>
      <w:pPr>
        <w:pStyle w:val="ListBullet"/>
      </w:pPr>
      <w:r>
        <w:t>Blockiererkennung muss technisch belegt und in der Beschreibung gestützt werden.</w:t>
      </w:r>
    </w:p>
    <w:p>
      <w:pPr>
        <w:pStyle w:val="ListBullet"/>
      </w:pPr>
      <w:r>
        <w:t>Verzögerungslogik darf nicht nur als Wunsch formuliert sein; konkrete Auswertung nötig.</w:t>
      </w:r>
    </w:p>
    <w:p>
      <w:pPr>
        <w:pStyle w:val="ListBullet"/>
      </w:pPr>
      <w:r>
        <w:t>Wenn der Wochenblattartikel die Merkmale d), e) und f) offenbart, droht Neuheitsproblem durch eigene Offenbarung.</w:t>
      </w:r>
    </w:p>
    <w:p>
      <w:pPr>
        <w:pStyle w:val="Heading2"/>
      </w:pPr>
      <w:r>
        <w:rPr>
          <w:rFonts w:ascii="Times New Roman" w:hAnsi="Times New Roman"/>
        </w:rPr>
        <w:t>Nächster Schritt</w:t>
      </w:r>
    </w:p>
    <w:p>
      <w:pPr>
        <w:jc w:val="left"/>
      </w:pPr>
      <w:r>
        <w:t>Beschreibung und Figuren auf Anspruchsmerkmale mappen. Danach Recherche zu Tierklappen, Stallklappen, Dämmerungsschaltern und Einklemmschutz.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