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 B — Abmahnung Laserdüse Flow-Edge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SchneidWerk Ostwestfalen GmbH erhält eine Abmahnung der Kraus &amp; Wenninger Lasertechnik AG wegen EP 3 214 878 B1 "Flow-Edge". Angegriffen ist eine Laserdüse für Schneidköpfe. Die Gegenseite verlangt Unterlassung, Auskunft, Rechnungslegung, Rückruf und Kostenerstattung. Frist: 07.05.2026.</w:t>
      </w:r>
    </w:p>
    <w:p>
      <w:pPr>
        <w:pStyle w:val="Heading2"/>
      </w:pPr>
      <w:r>
        <w:rPr>
          <w:rFonts w:ascii="Times New Roman" w:hAnsi="Times New Roman"/>
        </w:rPr>
        <w:t>Vorläufiger Claim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Behauptung Gegenseite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Aktenbefund SchneidWerk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rotationssymmetrischer Düsenkörper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unstreitig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Produktdatenblatt zeigt rotationssymmetrischen Grundkörper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erfüllt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koaxialer Laserkanal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behauptet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Zeichnung fehlt in lesbarer 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wahrscheinlich, Beleg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ringförmiger Gasführungskanal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behauptet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Flow-Edge nutzt mehrere seitliche Einspeisungen; Ringkanal 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definierte Kantenverrundung im Austrittsbereich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zentraler Vorwurf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CAD-Export zeigt Radius, aber Toleranzangabe widersprüchlich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Strömungsberuhigung durch Mikrostege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Gegenseite behauptet wortsinngemäße Verwirklichung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SchneidWerk spricht von Fertigungsrippen ohne Strömungsfunktion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Verteidigungsansätze</w:t>
      </w:r>
    </w:p>
    <w:p>
      <w:pPr>
        <w:pStyle w:val="ListNumber"/>
      </w:pPr>
      <w:r>
        <w:t>vollständigen Patentanspruch und Registerstand prüfen.</w:t>
      </w:r>
    </w:p>
    <w:p>
      <w:pPr>
        <w:pStyle w:val="ListNumber"/>
      </w:pPr>
      <w:r>
        <w:t>Produktmuster und CAD-Version sichern.</w:t>
      </w:r>
    </w:p>
    <w:p>
      <w:pPr>
        <w:pStyle w:val="ListNumber"/>
      </w:pPr>
      <w:r>
        <w:t>Merkmal "ringförmiger Gasführungskanal" technisch klären.</w:t>
      </w:r>
    </w:p>
    <w:p>
      <w:pPr>
        <w:pStyle w:val="ListNumber"/>
      </w:pPr>
      <w:r>
        <w:t>mögliche Vorbenutzung durch Prototypenserie 2019 prüfen.</w:t>
      </w:r>
    </w:p>
    <w:p>
      <w:pPr>
        <w:pStyle w:val="ListNumber"/>
      </w:pPr>
      <w:r>
        <w:t>Unterlassungserklärung auf zu weiten Produkt- und Konzernumfang prüfen.</w:t>
      </w:r>
    </w:p>
    <w:p>
      <w:pPr>
        <w:pStyle w:val="ListNumber"/>
      </w:pPr>
      <w:r>
        <w:t>Vergleichsfenster: Standstill gegen Datenraum und technische Erläuterung.</w:t>
      </w:r>
    </w:p>
    <w:p>
      <w:pPr>
        <w:pStyle w:val="Heading2"/>
      </w:pPr>
      <w:r>
        <w:rPr>
          <w:rFonts w:ascii="Times New Roman" w:hAnsi="Times New Roman"/>
        </w:rPr>
        <w:t>Rückfragen</w:t>
      </w:r>
    </w:p>
    <w:p>
      <w:pPr>
        <w:pStyle w:val="ListBullet"/>
      </w:pPr>
      <w:r>
        <w:t>Wurden Flow-Edge-Prototypen vor dem Prioritätstag öffentlich gezeigt oder verkauft?</w:t>
      </w:r>
    </w:p>
    <w:p>
      <w:pPr>
        <w:pStyle w:val="ListBullet"/>
      </w:pPr>
      <w:r>
        <w:t>Gibt es Bestellungen, Lieferpapiere, Messefotos, Zeichnungsstände und Zeugen?</w:t>
      </w:r>
    </w:p>
    <w:p>
      <w:pPr>
        <w:pStyle w:val="ListBullet"/>
      </w:pPr>
      <w:r>
        <w:t>Ist die Kantenverrundung funktional gewählt oder reine Fertigungstoleranz?</w:t>
      </w:r>
    </w:p>
    <w:p>
      <w:pPr>
        <w:pStyle w:val="ListBullet"/>
      </w:pPr>
      <w:r>
        <w:t>Welche Kunden werden aktuell beliefert und droht Lieferkettenstillstand?</w:t>
      </w:r>
    </w:p>
    <w:p>
      <w:pPr>
        <w:pStyle w:val="Heading2"/>
      </w:pPr>
      <w:r>
        <w:rPr>
          <w:rFonts w:ascii="Times New Roman" w:hAnsi="Times New Roman"/>
        </w:rPr>
        <w:t>Sofortempfehlung</w:t>
      </w:r>
    </w:p>
    <w:p>
      <w:pPr>
        <w:jc w:val="left"/>
      </w:pPr>
      <w:r>
        <w:t>Keine Unterlassungserklärung in der vorgelegten Fassung abgeben. Fristwahrend technische Unterlagen anfordern, Registerstand und Anspruchsfassung prüfen, interne Vorbenutzungsbeweise sichern und eine modifizierte Antwort vorbereiten.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