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 D — Lizenzvertrag VitaPhotonics/Luminos</w:t>
      </w:r>
    </w:p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VitaPhotonics GmbH verhandelt mit Luminos Medical Inc. über eine Lizenz an einem europäischen Patent zur photobiomodulatorischen Wundbehandlung. Der Vertragsentwurf wirkt professionell, enthält aber mehrere sachliche und rechtliche Brüche.</w:t>
      </w:r>
    </w:p>
    <w:p>
      <w:pPr>
        <w:pStyle w:val="Heading2"/>
      </w:pPr>
      <w:r>
        <w:rPr>
          <w:rFonts w:ascii="Times New Roman" w:hAnsi="Times New Roman"/>
        </w:rPr>
        <w:t>Reviewmatrix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Bearbeitung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Lizenzgegenstand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 spricht wechselnd von Patent, Patentfamilie, Know-how und "all IP"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unklarer Grant, Überdehnung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Schutzrechte in Schedule konkret listen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Territory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"EU and Germany" sowie einzelne Validierungsstaaten nebeneinander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widersprüchlicher räumlicher Umfang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Territory technisch und registerbezogen neu definieren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Exklusivität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exklusive Lizenz, aber Licensor behält eigene Nutzung und parallele Klinikpartner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Exklusivität leerlaufend oder streitanfällig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Carve-outs ausdrücklich und eng regeln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Unterlizenz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Distributor dürfen "market and exploit", Unterlizenz aber verboten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Vertriebskette blockiert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Vertrieb, OEM und Unterlizenz sauber trennen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Improvements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jede Verbesserung soll automatisch Licensor gehören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Innovationsbremse und AGB-/Kartellrisiko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Improvements nach Herkunft und Nutzungsrecht differenzieren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Gewährleistung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Licensor garantiert Nichtverletzung weltweit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kaum tragbar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Knowledge-qualifier, Disclosure und Haftungsgrenzen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Vergütung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Royalty Base enthält Geräte, Software, Service und Verbrauchsmaterial ohne Aufteilung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Über-/Untervergütung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Royalty Base produktbezogen definieren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Kündigung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Patentablauf, Nichtigkeit und Teilwiderruf nicht geregelt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Zahlungspflicht trotz fehlendem Schutz möglich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step-down, termination und survival clauses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Mandantenfragen</w:t>
      </w:r>
    </w:p>
    <w:p>
      <w:pPr>
        <w:pStyle w:val="ListNumber"/>
      </w:pPr>
      <w:r>
        <w:t>Welche Patente und Anmeldungen sind tatsächlich eingetragen?</w:t>
      </w:r>
    </w:p>
    <w:p>
      <w:pPr>
        <w:pStyle w:val="ListNumber"/>
      </w:pPr>
      <w:r>
        <w:t>Welche Länder wurden validiert und wo soll Luminos verkaufen?</w:t>
      </w:r>
    </w:p>
    <w:p>
      <w:pPr>
        <w:pStyle w:val="ListNumber"/>
      </w:pPr>
      <w:r>
        <w:t>Sollen Kliniken im Pilotprogramm weiter beliefert werden?</w:t>
      </w:r>
    </w:p>
    <w:p>
      <w:pPr>
        <w:pStyle w:val="ListNumber"/>
      </w:pPr>
      <w:r>
        <w:t>Ist Know-how überhaupt mitlizenziert oder nur Patentnutzung?</w:t>
      </w:r>
    </w:p>
    <w:p>
      <w:pPr>
        <w:pStyle w:val="ListNumber"/>
      </w:pPr>
      <w:r>
        <w:t>Wer entwickelt künftige Gerätegenerationen?</w:t>
      </w:r>
    </w:p>
    <w:p>
      <w:pPr>
        <w:pStyle w:val="Heading2"/>
      </w:pPr>
      <w:r>
        <w:rPr>
          <w:rFonts w:ascii="Times New Roman" w:hAnsi="Times New Roman"/>
        </w:rPr>
        <w:t>Erste Verhandlungsposition</w:t>
      </w:r>
    </w:p>
    <w:p>
      <w:pPr>
        <w:jc w:val="left"/>
      </w:pPr>
      <w:r>
        <w:t>Der Vertrag kann als Ausgangspunkt dienen, darf aber nicht unterzeichnet werden. Zuerst müssen Lizenzgegenstand, Territory, Exklusivität, Unterlizenz und Improvements neu gefasst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