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 E — Term Sheet und DE/EN-Mustervertrag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Dr.-Ing. Matthias Knoblauch verhandelt mit NorthArc Industries Inc. über eine Lizenz an einem Patent zu einem Dämpfungssystem für Turboprop-Kraftstoffleitungen. Ein deutsch-englisches Vertragsmuster enthält Variablen, die aus dem Term Sheet konsistent befüllt werden müssen.</w:t>
      </w:r>
    </w:p>
    <w:p>
      <w:pPr>
        <w:pStyle w:val="Heading2"/>
      </w:pPr>
      <w:r>
        <w:rPr>
          <w:rFonts w:ascii="Times New Roman" w:hAnsi="Times New Roman"/>
        </w:rPr>
        <w:t>Variablenmapping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 aus Akte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{{LICENSOR}}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Dr.-Ing. Matthias Knoblauch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prüfen, ob Rechte bei Person oder Gesellschaft liegen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{{LICENSEE}}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NorthArc Industries Inc.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US-Gesellschaft, Vertretungsbefugnis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{{LICENSED_PATENTS}}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EP 3 876 543 B1 und validierte nationale Teile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Registerstand und Länder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{{FIELD}}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Kraftstoffversorgungssysteme für Turboprop-Flugzeuge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Field technisch eng genug definieren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{{TERRITORY}}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Europa plus USA-Vertriebsfenster nach separater Freigabe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mit EP-Territory vermischen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{{ROYALTY}}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laufende Stücklizenz plus Mindestlizenz ab Jahr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 und Audit festlegen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{{SUBLICENSE}}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Zulieferer nur zur Herstellung, keine freie Unterlizenz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Supply-chain carve-out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{{IMPROVEMENTS}}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Verbesserungen beim Entwickler, wechselseitige Nutzungsoption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konkrete Anmeldepflichten fehlen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Legal-English-Risiken</w:t>
      </w:r>
    </w:p>
    <w:p>
      <w:pPr>
        <w:pStyle w:val="ListBullet"/>
      </w:pPr>
      <w:r>
        <w:t>"best efforts" ohne konkreten Maßstab ist für deutsches Recht zu unklar.</w:t>
      </w:r>
    </w:p>
    <w:p>
      <w:pPr>
        <w:pStyle w:val="ListBullet"/>
      </w:pPr>
      <w:r>
        <w:t>"affiliate" muss konzernrechtlich und wirtschaftlich definiert werden.</w:t>
      </w:r>
    </w:p>
    <w:p>
      <w:pPr>
        <w:pStyle w:val="ListBullet"/>
      </w:pPr>
      <w:r>
        <w:t>"change of control" braucht Rechtsfolgen: Zustimmung, Kündigung oder Informationspflicht.</w:t>
      </w:r>
    </w:p>
    <w:p>
      <w:pPr>
        <w:pStyle w:val="ListBullet"/>
      </w:pPr>
      <w:r>
        <w:t>"material breach" sollte mit Beispielen und Heilungsfrist konkretisiert werden.</w:t>
      </w:r>
    </w:p>
    <w:p>
      <w:pPr>
        <w:pStyle w:val="Heading2"/>
      </w:pPr>
      <w:r>
        <w:rPr>
          <w:rFonts w:ascii="Times New Roman" w:hAnsi="Times New Roman"/>
        </w:rPr>
        <w:t>Outputziel</w:t>
      </w:r>
    </w:p>
    <w:p>
      <w:pPr>
        <w:jc w:val="left"/>
      </w:pPr>
      <w:r>
        <w:t>Ein sauber befüllter Vertragsentwurf mit deutscher Steuerungsklausel und englischer Arbeitsfassung, bei dem die wirtschaftlichen Begriffe nicht blind aus US-Vertragslogik übernommen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