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 F — Einspruch und Nichtigkeit Frosthaus</w:t>
      </w:r>
    </w:p>
    <w:p>
      <w:pPr>
        <w:pStyle w:val="Heading2"/>
      </w:pPr>
      <w:r>
        <w:rPr>
          <w:rFonts w:ascii="Times New Roman" w:hAnsi="Times New Roman"/>
        </w:rPr>
        <w:t>Ausgangslage</w:t>
      </w:r>
    </w:p>
    <w:p>
      <w:pPr>
        <w:jc w:val="left"/>
      </w:pPr>
      <w:r>
        <w:t>Silesia Bauelemente AG erwägt einen Angriff gegen ein europäisches Patent der Frosthaus Engineering GmbH zu Fassadenelementen mit Frostschutzfunktion. Das Patent wurde 2025 erteilt. Die wirtschaftliche Sorge betrifft eine geplante Serie gedämmter Fassadenmodule für kommunale Bauvorhaben.</w:t>
      </w:r>
    </w:p>
    <w:p>
      <w:pPr>
        <w:pStyle w:val="Heading2"/>
      </w:pPr>
      <w:r>
        <w:rPr>
          <w:rFonts w:ascii="Times New Roman" w:hAnsi="Times New Roman"/>
        </w:rPr>
        <w:t>Verfahrensoptionen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Weg</w:t>
            </w:r>
          </w:p>
        </w:tc>
        <w:tc>
          <w:tcPr>
            <w:tcW w:type="dxa" w:w="3024"/>
          </w:tcPr>
          <w:p>
            <w:r>
              <w:rPr>
                <w:rFonts w:ascii="Times New Roman" w:hAnsi="Times New Roman"/>
                <w:b/>
                <w:sz w:val="20"/>
              </w:rPr>
              <w:t>Nutzen</w:t>
            </w:r>
          </w:p>
        </w:tc>
        <w:tc>
          <w:tcPr>
            <w:tcW w:type="dxa" w:w="3024"/>
          </w:tcPr>
          <w:p>
            <w:r>
              <w:rPr>
                <w:rFonts w:ascii="Times New Roman" w:hAnsi="Times New Roman"/>
                <w:b/>
                <w:sz w:val="20"/>
              </w:rPr>
              <w:t>Risiko</w:t>
            </w:r>
          </w:p>
        </w:tc>
      </w:tr>
      <w:tr>
        <w:tc>
          <w:tcPr>
            <w:tcW w:type="dxa" w:w="3024"/>
          </w:tcPr>
          <w:p>
            <w:r>
              <w:rPr>
                <w:rFonts w:ascii="Times New Roman" w:hAnsi="Times New Roman"/>
                <w:sz w:val="20"/>
              </w:rPr>
              <w:t>EPA-Einspruch</w:t>
            </w:r>
          </w:p>
        </w:tc>
        <w:tc>
          <w:tcPr>
            <w:tcW w:type="dxa" w:w="3024"/>
          </w:tcPr>
          <w:p>
            <w:r>
              <w:rPr>
                <w:rFonts w:ascii="Times New Roman" w:hAnsi="Times New Roman"/>
                <w:sz w:val="20"/>
              </w:rPr>
              <w:t>zentraler Angriff gegen EP-Patent, wenn Frist läuft</w:t>
            </w:r>
          </w:p>
        </w:tc>
        <w:tc>
          <w:tcPr>
            <w:tcW w:type="dxa" w:w="3024"/>
          </w:tcPr>
          <w:p>
            <w:r>
              <w:rPr>
                <w:rFonts w:ascii="Times New Roman" w:hAnsi="Times New Roman"/>
                <w:sz w:val="20"/>
              </w:rPr>
              <w:t>Frist, Substantiierung, Gebühr und vollständige Beweismittel nötig</w:t>
            </w:r>
          </w:p>
        </w:tc>
      </w:tr>
      <w:tr>
        <w:tc>
          <w:tcPr>
            <w:tcW w:type="dxa" w:w="3024"/>
          </w:tcPr>
          <w:p>
            <w:r>
              <w:rPr>
                <w:rFonts w:ascii="Times New Roman" w:hAnsi="Times New Roman"/>
                <w:sz w:val="20"/>
              </w:rPr>
              <w:t>deutsche Nichtigkeitsklage</w:t>
            </w:r>
          </w:p>
        </w:tc>
        <w:tc>
          <w:tcPr>
            <w:tcW w:type="dxa" w:w="3024"/>
          </w:tcPr>
          <w:p>
            <w:r>
              <w:rPr>
                <w:rFonts w:ascii="Times New Roman" w:hAnsi="Times New Roman"/>
                <w:sz w:val="20"/>
              </w:rPr>
              <w:t>gezielter Angriff auf deutschen Teil</w:t>
            </w:r>
          </w:p>
        </w:tc>
        <w:tc>
          <w:tcPr>
            <w:tcW w:type="dxa" w:w="3024"/>
          </w:tcPr>
          <w:p>
            <w:r>
              <w:rPr>
                <w:rFonts w:ascii="Times New Roman" w:hAnsi="Times New Roman"/>
                <w:sz w:val="20"/>
              </w:rPr>
              <w:t>Zulässigkeit und Timing im Verhältnis zum Einspruch prüfen</w:t>
            </w:r>
          </w:p>
        </w:tc>
      </w:tr>
      <w:tr>
        <w:tc>
          <w:tcPr>
            <w:tcW w:type="dxa" w:w="3024"/>
          </w:tcPr>
          <w:p>
            <w:r>
              <w:rPr>
                <w:rFonts w:ascii="Times New Roman" w:hAnsi="Times New Roman"/>
                <w:sz w:val="20"/>
              </w:rPr>
              <w:t>Lizenz/Standstill</w:t>
            </w:r>
          </w:p>
        </w:tc>
        <w:tc>
          <w:tcPr>
            <w:tcW w:type="dxa" w:w="3024"/>
          </w:tcPr>
          <w:p>
            <w:r>
              <w:rPr>
                <w:rFonts w:ascii="Times New Roman" w:hAnsi="Times New Roman"/>
                <w:sz w:val="20"/>
              </w:rPr>
              <w:t>Business-Risiko kurzfristig begrenzen</w:t>
            </w:r>
          </w:p>
        </w:tc>
        <w:tc>
          <w:tcPr>
            <w:tcW w:type="dxa" w:w="3024"/>
          </w:tcPr>
          <w:p>
            <w:r>
              <w:rPr>
                <w:rFonts w:ascii="Times New Roman" w:hAnsi="Times New Roman"/>
                <w:sz w:val="20"/>
              </w:rPr>
              <w:t>kann Angriffsdruck schwächen</w:t>
            </w:r>
          </w:p>
        </w:tc>
      </w:tr>
      <w:tr>
        <w:tc>
          <w:tcPr>
            <w:tcW w:type="dxa" w:w="3024"/>
          </w:tcPr>
          <w:p>
            <w:r>
              <w:rPr>
                <w:rFonts w:ascii="Times New Roman" w:hAnsi="Times New Roman"/>
                <w:sz w:val="20"/>
              </w:rPr>
              <w:t>Design-around</w:t>
            </w:r>
          </w:p>
        </w:tc>
        <w:tc>
          <w:tcPr>
            <w:tcW w:type="dxa" w:w="3024"/>
          </w:tcPr>
          <w:p>
            <w:r>
              <w:rPr>
                <w:rFonts w:ascii="Times New Roman" w:hAnsi="Times New Roman"/>
                <w:sz w:val="20"/>
              </w:rPr>
              <w:t>Lieferfähigkeit sichern</w:t>
            </w:r>
          </w:p>
        </w:tc>
        <w:tc>
          <w:tcPr>
            <w:tcW w:type="dxa" w:w="3024"/>
          </w:tcPr>
          <w:p>
            <w:r>
              <w:rPr>
                <w:rFonts w:ascii="Times New Roman" w:hAnsi="Times New Roman"/>
                <w:sz w:val="20"/>
              </w:rPr>
              <w:t>technische Gleichwertigkeit und Restverletzungsrisiko prüfen</w:t>
            </w:r>
          </w:p>
        </w:tc>
      </w:tr>
    </w:tbl>
    <w:p>
      <w:pPr>
        <w:pStyle w:val="Heading2"/>
      </w:pPr>
      <w:r>
        <w:rPr>
          <w:rFonts w:ascii="Times New Roman" w:hAnsi="Times New Roman"/>
        </w:rPr>
        <w:t>Angriffsmittel</w:t>
      </w:r>
    </w:p>
    <w:p>
      <w:pPr>
        <w:pStyle w:val="ListNumber"/>
      </w:pPr>
      <w:r>
        <w:t>Neuheit gegen alte Montageanleitung oder Messeunterlage.</w:t>
      </w:r>
    </w:p>
    <w:p>
      <w:pPr>
        <w:pStyle w:val="ListNumber"/>
      </w:pPr>
      <w:r>
        <w:t>erfinderische Tätigkeit aus Kombination Fassadenkassette + Heizleiterführung.</w:t>
      </w:r>
    </w:p>
    <w:p>
      <w:pPr>
        <w:pStyle w:val="ListNumber"/>
      </w:pPr>
      <w:r>
        <w:t>unzulässige Erweiterung bei später eingefügtem Temperaturfenster.</w:t>
      </w:r>
    </w:p>
    <w:p>
      <w:pPr>
        <w:pStyle w:val="ListNumber"/>
      </w:pPr>
      <w:r>
        <w:t>mangelnde Ausführbarkeit für bestimmte Dämmstoffkombinationen.</w:t>
      </w:r>
    </w:p>
    <w:p>
      <w:pPr>
        <w:pStyle w:val="ListNumber"/>
      </w:pPr>
      <w:r>
        <w:t>Prioritätsproblem, wenn Anspruch auf spätere technische Variante erweitert wurde.</w:t>
      </w:r>
    </w:p>
    <w:p>
      <w:pPr>
        <w:pStyle w:val="Heading2"/>
      </w:pPr>
      <w:r>
        <w:rPr>
          <w:rFonts w:ascii="Times New Roman" w:hAnsi="Times New Roman"/>
        </w:rPr>
        <w:t>Beweismatrix</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Beweis</w:t>
            </w:r>
          </w:p>
        </w:tc>
        <w:tc>
          <w:tcPr>
            <w:tcW w:type="dxa" w:w="3024"/>
          </w:tcPr>
          <w:p>
            <w:r>
              <w:rPr>
                <w:rFonts w:ascii="Times New Roman" w:hAnsi="Times New Roman"/>
                <w:b/>
                <w:sz w:val="20"/>
              </w:rPr>
              <w:t>Inhalt</w:t>
            </w:r>
          </w:p>
        </w:tc>
        <w:tc>
          <w:tcPr>
            <w:tcW w:type="dxa" w:w="3024"/>
          </w:tcPr>
          <w:p>
            <w:r>
              <w:rPr>
                <w:rFonts w:ascii="Times New Roman" w:hAnsi="Times New Roman"/>
                <w:b/>
                <w:sz w:val="20"/>
              </w:rPr>
              <w:t>Problem</w:t>
            </w:r>
          </w:p>
        </w:tc>
      </w:tr>
      <w:tr>
        <w:tc>
          <w:tcPr>
            <w:tcW w:type="dxa" w:w="3024"/>
          </w:tcPr>
          <w:p>
            <w:r>
              <w:rPr>
                <w:rFonts w:ascii="Times New Roman" w:hAnsi="Times New Roman"/>
                <w:sz w:val="20"/>
              </w:rPr>
              <w:t>Broschüre BauTech 2018</w:t>
            </w:r>
          </w:p>
        </w:tc>
        <w:tc>
          <w:tcPr>
            <w:tcW w:type="dxa" w:w="3024"/>
          </w:tcPr>
          <w:p>
            <w:r>
              <w:rPr>
                <w:rFonts w:ascii="Times New Roman" w:hAnsi="Times New Roman"/>
                <w:sz w:val="20"/>
              </w:rPr>
              <w:t>zeigt Fassadenelement mit Heizleiter</w:t>
            </w:r>
          </w:p>
        </w:tc>
        <w:tc>
          <w:tcPr>
            <w:tcW w:type="dxa" w:w="3024"/>
          </w:tcPr>
          <w:p>
            <w:r>
              <w:rPr>
                <w:rFonts w:ascii="Times New Roman" w:hAnsi="Times New Roman"/>
                <w:sz w:val="20"/>
              </w:rPr>
              <w:t>Veröffentlichung und konkrete Merkmale beweisen</w:t>
            </w:r>
          </w:p>
        </w:tc>
      </w:tr>
      <w:tr>
        <w:tc>
          <w:tcPr>
            <w:tcW w:type="dxa" w:w="3024"/>
          </w:tcPr>
          <w:p>
            <w:r>
              <w:rPr>
                <w:rFonts w:ascii="Times New Roman" w:hAnsi="Times New Roman"/>
                <w:sz w:val="20"/>
              </w:rPr>
              <w:t>Lieferantenmail 2019</w:t>
            </w:r>
          </w:p>
        </w:tc>
        <w:tc>
          <w:tcPr>
            <w:tcW w:type="dxa" w:w="3024"/>
          </w:tcPr>
          <w:p>
            <w:r>
              <w:rPr>
                <w:rFonts w:ascii="Times New Roman" w:hAnsi="Times New Roman"/>
                <w:sz w:val="20"/>
              </w:rPr>
              <w:t>beschreibt Frostsensorintegration</w:t>
            </w:r>
          </w:p>
        </w:tc>
        <w:tc>
          <w:tcPr>
            <w:tcW w:type="dxa" w:w="3024"/>
          </w:tcPr>
          <w:p>
            <w:r>
              <w:rPr>
                <w:rFonts w:ascii="Times New Roman" w:hAnsi="Times New Roman"/>
                <w:sz w:val="20"/>
              </w:rPr>
              <w:t>Vertraulichkeit unklar</w:t>
            </w:r>
          </w:p>
        </w:tc>
      </w:tr>
      <w:tr>
        <w:tc>
          <w:tcPr>
            <w:tcW w:type="dxa" w:w="3024"/>
          </w:tcPr>
          <w:p>
            <w:r>
              <w:rPr>
                <w:rFonts w:ascii="Times New Roman" w:hAnsi="Times New Roman"/>
                <w:sz w:val="20"/>
              </w:rPr>
              <w:t>Foto Messestand</w:t>
            </w:r>
          </w:p>
        </w:tc>
        <w:tc>
          <w:tcPr>
            <w:tcW w:type="dxa" w:w="3024"/>
          </w:tcPr>
          <w:p>
            <w:r>
              <w:rPr>
                <w:rFonts w:ascii="Times New Roman" w:hAnsi="Times New Roman"/>
                <w:sz w:val="20"/>
              </w:rPr>
              <w:t>technischer Detailgrad gering</w:t>
            </w:r>
          </w:p>
        </w:tc>
        <w:tc>
          <w:tcPr>
            <w:tcW w:type="dxa" w:w="3024"/>
          </w:tcPr>
          <w:p>
            <w:r>
              <w:rPr>
                <w:rFonts w:ascii="Times New Roman" w:hAnsi="Times New Roman"/>
                <w:sz w:val="20"/>
              </w:rPr>
              <w:t>nur ergänzend</w:t>
            </w:r>
          </w:p>
        </w:tc>
      </w:tr>
      <w:tr>
        <w:tc>
          <w:tcPr>
            <w:tcW w:type="dxa" w:w="3024"/>
          </w:tcPr>
          <w:p>
            <w:r>
              <w:rPr>
                <w:rFonts w:ascii="Times New Roman" w:hAnsi="Times New Roman"/>
                <w:sz w:val="20"/>
              </w:rPr>
              <w:t>Laborbericht Silesia</w:t>
            </w:r>
          </w:p>
        </w:tc>
        <w:tc>
          <w:tcPr>
            <w:tcW w:type="dxa" w:w="3024"/>
          </w:tcPr>
          <w:p>
            <w:r>
              <w:rPr>
                <w:rFonts w:ascii="Times New Roman" w:hAnsi="Times New Roman"/>
                <w:sz w:val="20"/>
              </w:rPr>
              <w:t>Versuch zur Nichtausführbarkeit</w:t>
            </w:r>
          </w:p>
        </w:tc>
        <w:tc>
          <w:tcPr>
            <w:tcW w:type="dxa" w:w="3024"/>
          </w:tcPr>
          <w:p>
            <w:r>
              <w:rPr>
                <w:rFonts w:ascii="Times New Roman" w:hAnsi="Times New Roman"/>
                <w:sz w:val="20"/>
              </w:rPr>
              <w:t>Parteigutachten, methodische Nacharbeit nötig</w:t>
            </w:r>
          </w:p>
        </w:tc>
      </w:tr>
    </w:tbl>
    <w:p>
      <w:pPr>
        <w:pStyle w:val="Heading2"/>
      </w:pPr>
      <w:r>
        <w:rPr>
          <w:rFonts w:ascii="Times New Roman" w:hAnsi="Times New Roman"/>
        </w:rPr>
        <w:t>Sofortmaßnahmen</w:t>
      </w:r>
    </w:p>
    <w:p>
      <w:pPr>
        <w:pStyle w:val="ListBullet"/>
      </w:pPr>
      <w:r>
        <w:t>EPO Register live prüfen.</w:t>
      </w:r>
    </w:p>
    <w:p>
      <w:pPr>
        <w:pStyle w:val="ListBullet"/>
      </w:pPr>
      <w:r>
        <w:t>Fristende und Gebühren klären.</w:t>
      </w:r>
    </w:p>
    <w:p>
      <w:pPr>
        <w:pStyle w:val="ListBullet"/>
      </w:pPr>
      <w:r>
        <w:t>Anspruchssatz und Verfahrenssprache sichern.</w:t>
      </w:r>
    </w:p>
    <w:p>
      <w:pPr>
        <w:pStyle w:val="ListBullet"/>
      </w:pPr>
      <w:r>
        <w:t>Vorbenutzungs-/Vorveröffentlichungsbeweise mit Originalmetadaten sammeln.</w:t>
      </w:r>
    </w:p>
    <w:p>
      <w:pPr>
        <w:pStyle w:val="ListBullet"/>
      </w:pPr>
      <w:r>
        <w:t>Verletzungsrisiko für aktuelle Produktserie parallel bewerten.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