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Ravenstein &amp; Moll</w:t>
      </w:r>
    </w:p>
    <w:p>
      <w:pPr>
        <w:pStyle w:val="Heading2"/>
      </w:pPr>
      <w:r>
        <w:rPr>
          <w:rFonts w:ascii="Times New Roman" w:hAnsi="Times New Roman"/>
        </w:rPr>
        <w:t>Beobachtungen aus der ersten Durchsicht</w:t>
      </w:r>
    </w:p>
    <w:p>
      <w:pPr>
        <w:pStyle w:val="ListBullet"/>
      </w:pPr>
      <w:r>
        <w:t>Die Akten A und C sind keine reinen Anmeldungsfälle. Beide haben ein Offenbarungs- und Timingproblem.</w:t>
      </w:r>
    </w:p>
    <w:p>
      <w:pPr>
        <w:pStyle w:val="ListBullet"/>
      </w:pPr>
      <w:r>
        <w:t>Akte B ist keine einfache "Patent verletzt ja/nein"-Frage. Ohne Registerstand, Produktmuster und Chronologie zur Prototypenserie kann keine Unterlassungserklärung verantwortet werden.</w:t>
      </w:r>
    </w:p>
    <w:p>
      <w:pPr>
        <w:pStyle w:val="ListBullet"/>
      </w:pPr>
      <w:r>
        <w:t>Akte D zeigt, dass Patentlizenzverträge oft nicht an einem einzelnen Fehler scheitern, sondern an der Kombination aus unklarem Schutzrechtsumfang, widersprüchlicher Exklusivität und ungeklärten Verbesserungen.</w:t>
      </w:r>
    </w:p>
    <w:p>
      <w:pPr>
        <w:pStyle w:val="ListBullet"/>
      </w:pPr>
      <w:r>
        <w:t>Akte E wirkt formal sauber, ist aber rechtlich riskant: Die englischen Begriffe können eine falsche Sicherheit erzeugen, wenn sie nicht in deutsche Vertragslogik übersetzt werden.</w:t>
      </w:r>
    </w:p>
    <w:p>
      <w:pPr>
        <w:pStyle w:val="ListBullet"/>
      </w:pPr>
      <w:r>
        <w:t>Akte F verlangt Bestandsangriff und Verletzungsstrategie zugleich. Ein isolierter Einspruchsentwurf wäre zu kurz.</w:t>
      </w:r>
    </w:p>
    <w:p>
      <w:pPr>
        <w:pStyle w:val="Heading2"/>
      </w:pPr>
      <w:r>
        <w:rPr>
          <w:rFonts w:ascii="Times New Roman" w:hAnsi="Times New Roman"/>
        </w:rPr>
        <w:t>Standardauftrag an Bearbeiter</w:t>
      </w:r>
    </w:p>
    <w:p>
      <w:pPr>
        <w:jc w:val="left"/>
      </w:pPr>
      <w:r>
        <w:t>Jede Bearbeitung muss mit einer Fristen- und Quellenzeile beginnen. Danach technische Merkmale, Rechtsstand und Outputziel trennen. Am Ende steht immer eine offene-Punkte-Liste.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