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Grobe-Fahrlässigkeit-Ampel Mayer ./. Sparkasse</w:t>
      </w:r>
    </w:p>
    <w:p>
      <w:pPr>
        <w:pStyle w:val="Heading2"/>
      </w:pPr>
      <w:r>
        <w:rPr>
          <w:rFonts w:ascii="Times New Roman" w:hAnsi="Times New Roman"/>
        </w:rPr>
        <w:t>Rot aus Mandantensicht</w:t>
      </w:r>
    </w:p>
    <w:p>
      <w:pPr>
        <w:pStyle w:val="ListBullet"/>
      </w:pPr>
      <w:r>
        <w:t>TAN wurde am Telefon weitergegeben.</w:t>
      </w:r>
    </w:p>
    <w:p>
      <w:pPr>
        <w:pStyle w:val="ListBullet"/>
      </w:pPr>
      <w:r>
        <w:t>Bank kann sich auf allgemeine Sicherheitsinformationen berufen.</w:t>
      </w:r>
    </w:p>
    <w:p>
      <w:pPr>
        <w:pStyle w:val="ListBullet"/>
      </w:pPr>
      <w:r>
        <w:t>Mandant ist rechtsnah berufserfahren.</w:t>
      </w:r>
    </w:p>
    <w:p>
      <w:pPr>
        <w:pStyle w:val="ListBullet"/>
      </w:pPr>
      <w:r>
        <w:t>Klageerwiderung behauptet klare App-Anzeige mit Transaktionsfreigabe.</w:t>
      </w:r>
    </w:p>
    <w:p>
      <w:pPr>
        <w:pStyle w:val="Heading2"/>
      </w:pPr>
      <w:r>
        <w:rPr>
          <w:rFonts w:ascii="Times New Roman" w:hAnsi="Times New Roman"/>
        </w:rPr>
        <w:t>Grün aus Mandantensicht</w:t>
      </w:r>
    </w:p>
    <w:p>
      <w:pPr>
        <w:pStyle w:val="ListBullet"/>
      </w:pPr>
      <w:r>
        <w:t>Caller-ID-Spoofing mit offizieller Banknummer.</w:t>
      </w:r>
    </w:p>
    <w:p>
      <w:pPr>
        <w:pStyle w:val="ListBullet"/>
      </w:pPr>
      <w:r>
        <w:t>Täuschung als akuter Sicherheitsvorfall.</w:t>
      </w:r>
    </w:p>
    <w:p>
      <w:pPr>
        <w:pStyle w:val="ListBullet"/>
      </w:pPr>
      <w:r>
        <w:t>Zeitdruck und Autoritätsgefälle.</w:t>
      </w:r>
    </w:p>
    <w:p>
      <w:pPr>
        <w:pStyle w:val="ListBullet"/>
      </w:pPr>
      <w:r>
        <w:t>Sperre innerhalb kurzer Zeit.</w:t>
      </w:r>
    </w:p>
    <w:p>
      <w:pPr>
        <w:pStyle w:val="ListBullet"/>
      </w:pPr>
      <w:r>
        <w:t>fremde IP/Tor-Exit-Node im technischen Protokoll.</w:t>
      </w:r>
    </w:p>
    <w:p>
      <w:pPr>
        <w:pStyle w:val="ListBullet"/>
      </w:pPr>
      <w:r>
        <w:t>manuelle Bankprüfung erst nach Abschluss der Vorgänge.</w:t>
      </w:r>
    </w:p>
    <w:p>
      <w:pPr>
        <w:pStyle w:val="Heading2"/>
      </w:pPr>
      <w:r>
        <w:rPr>
          <w:rFonts w:ascii="Times New Roman" w:hAnsi="Times New Roman"/>
        </w:rPr>
        <w:t>Gelbe Kernfragen</w:t>
      </w:r>
    </w:p>
    <w:p>
      <w:pPr>
        <w:pStyle w:val="ListBullet"/>
      </w:pPr>
      <w:r>
        <w:t>War die pushTAN-Anzeige objektiv klar genug?</w:t>
      </w:r>
    </w:p>
    <w:p>
      <w:pPr>
        <w:pStyle w:val="ListBullet"/>
      </w:pPr>
      <w:r>
        <w:t>Konnte der Mandant erkennen, dass er konkrete Zahlungen freigab?</w:t>
      </w:r>
    </w:p>
    <w:p>
      <w:pPr>
        <w:pStyle w:val="ListBullet"/>
      </w:pPr>
      <w:r>
        <w:t>Reichen allgemeine Warnhinweise von Januar für grobe Fahrlässigkeit im Mai?</w:t>
      </w:r>
    </w:p>
    <w:p>
      <w:pPr>
        <w:pStyle w:val="ListBullet"/>
      </w:pPr>
      <w:r>
        <w:t>Hätte die Bank bei Score 72 und Schwelle 75 plus Tor-/Geräteauffälligkeit eskalieren müssen?</w:t>
      </w:r>
    </w:p>
    <w:p>
      <w:pPr>
        <w:pStyle w:val="Heading2"/>
      </w:pPr>
      <w:r>
        <w:rPr>
          <w:rFonts w:ascii="Times New Roman" w:hAnsi="Times New Roman"/>
        </w:rPr>
        <w:t>Arbeitshypothese</w:t>
      </w:r>
    </w:p>
    <w:p>
      <w:pPr>
        <w:jc w:val="left"/>
      </w:pPr>
      <w:r>
        <w:t>Der Fall sollte nicht als "TAN genannt, also verloren" behandelt werden. Ebenso wenig ist er ein sicherer Erstattungsfall. Die beste Linie ist: konkrete Autorisierung bestreiten, Bankbeweis nach § 675w BGB angreifen, § 675v BGB mit den besonderen Täuschungs- und Monitoringumständen entschärfen.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