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Ombudsmann und Klagepfad</w:t>
      </w:r>
    </w:p>
    <w:p>
      <w:pPr>
        <w:pStyle w:val="Heading2"/>
      </w:pPr>
      <w:r>
        <w:rPr>
          <w:rFonts w:ascii="Times New Roman" w:hAnsi="Times New Roman"/>
        </w:rPr>
        <w:t>Ombudsmann</w:t>
      </w:r>
    </w:p>
    <w:p>
      <w:pPr>
        <w:jc w:val="left"/>
      </w:pPr>
      <w:r>
        <w:t>Der Schlichtungsvorschlag sieht eine Quote 70/30 zugunsten des Mandanten vor:</w:t>
      </w:r>
    </w:p>
    <w:p>
      <w:pPr>
        <w:pStyle w:val="ListBullet"/>
      </w:pPr>
      <w:r>
        <w:t>Zahlung Bank: 8.606,50 EUR</w:t>
      </w:r>
    </w:p>
    <w:p>
      <w:pPr>
        <w:pStyle w:val="ListBullet"/>
      </w:pPr>
      <w:r>
        <w:t>Eigenanteil Mandant: 3.688,50 EUR</w:t>
      </w:r>
    </w:p>
    <w:p>
      <w:pPr>
        <w:jc w:val="left"/>
      </w:pPr>
      <w:r>
        <w:t>Das spricht dafür, dass der Fall auch neutral nicht als klarer Bank- oder Kundenfall bewertet wurde. Die Ablehnung durch die Bank kann im Prozess taktisch erwähnt werden, ersetzt aber keine Anspruchsbegründung.</w:t>
      </w:r>
    </w:p>
    <w:p>
      <w:pPr>
        <w:pStyle w:val="Heading2"/>
      </w:pPr>
      <w:r>
        <w:rPr>
          <w:rFonts w:ascii="Times New Roman" w:hAnsi="Times New Roman"/>
        </w:rPr>
        <w:t>Klagepfad</w:t>
      </w:r>
    </w:p>
    <w:p>
      <w:pPr>
        <w:jc w:val="left"/>
      </w:pPr>
      <w:r>
        <w:t>Die Klage muss vier Dinge leisten:</w:t>
      </w:r>
    </w:p>
    <w:p>
      <w:pPr>
        <w:pStyle w:val="ListNumber"/>
      </w:pPr>
      <w:r>
        <w:t>konkrete Autorisierung bestreiten,</w:t>
      </w:r>
    </w:p>
    <w:p>
      <w:pPr>
        <w:pStyle w:val="ListNumber"/>
      </w:pPr>
      <w:r>
        <w:t>Bankbeweis nach § 675w BGB konkret angreifen,</w:t>
      </w:r>
    </w:p>
    <w:p>
      <w:pPr>
        <w:pStyle w:val="ListNumber"/>
      </w:pPr>
      <w:r>
        <w:t>grobe Fahrlässigkeit nicht verschweigen, sondern erklären,</w:t>
      </w:r>
    </w:p>
    <w:p>
      <w:pPr>
        <w:pStyle w:val="ListNumber"/>
      </w:pPr>
      <w:r>
        <w:t>technische Auffälligkeiten als Monitoring-/Pflichtenthema verwerten.</w:t>
      </w:r>
    </w:p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Bullet"/>
      </w:pPr>
      <w:r>
        <w:t>Gericht kann TAN-Weitergabe als grob fahrlässig ansehen.</w:t>
      </w:r>
    </w:p>
    <w:p>
      <w:pPr>
        <w:pStyle w:val="ListBullet"/>
      </w:pPr>
      <w:r>
        <w:t>Wenn der App-Dialog klar Betrag und Empfänger zeigte, wird der Fall deutlich schwächer.</w:t>
      </w:r>
    </w:p>
    <w:p>
      <w:pPr>
        <w:pStyle w:val="ListBullet"/>
      </w:pPr>
      <w:r>
        <w:t>Allgemeine Sicherheitswarnungen sind nicht entscheidend, aber gefährlich.</w:t>
      </w:r>
    </w:p>
    <w:p>
      <w:pPr>
        <w:pStyle w:val="ListBullet"/>
      </w:pPr>
      <w:r>
        <w:t>Der Alternativantrag auf Quote kann sinnvoll sein, darf aber den Hauptanspruch nicht verwässern.</w:t>
      </w:r>
    </w:p>
    <w:p>
      <w:pPr>
        <w:pStyle w:val="Heading2"/>
      </w:pPr>
      <w:r>
        <w:rPr>
          <w:rFonts w:ascii="Times New Roman" w:hAnsi="Times New Roman"/>
        </w:rPr>
        <w:t>Nächster sinnvoller Schriftsatz</w:t>
      </w:r>
    </w:p>
    <w:p>
      <w:pPr>
        <w:jc w:val="left"/>
      </w:pPr>
      <w:r>
        <w:t>Ein Schriftsatz sollte die Klageerwiderung anhand einer Vier-Spalten-Tabelle beantworten: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Bankbehauptung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Mandantenposition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rechtliche Folge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