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Vermerk Vorstandsbesprechung</w:t>
      </w:r>
    </w:p>
    <w:p>
      <w:pPr>
        <w:jc w:val="left"/>
      </w:pPr>
      <w:r>
        <w:rPr>
          <w:b/>
        </w:rPr>
        <w:t>Datum:</w:t>
      </w:r>
      <w:r>
        <w:t xml:space="preserve"> Mittwoch, 03.06.2026, 19:00–22:30 Uhr</w:t>
      </w:r>
    </w:p>
    <w:p>
      <w:pPr>
        <w:jc w:val="left"/>
      </w:pPr>
      <w:r>
        <w:rPr>
          <w:b/>
        </w:rPr>
        <w:t>Ort:</w:t>
      </w:r>
      <w:r>
        <w:t xml:space="preserve"> Vereinsheim Initiative Lausitzer Lebensraum, Cottbuser Straße 22, Forst</w:t>
      </w:r>
    </w:p>
    <w:p>
      <w:pPr>
        <w:jc w:val="left"/>
      </w:pPr>
      <w:r>
        <w:rPr>
          <w:b/>
        </w:rPr>
        <w:t>Teilnehmer:</w:t>
      </w:r>
    </w:p>
    <w:p>
      <w:pPr>
        <w:pStyle w:val="ListBullet"/>
      </w:pPr>
      <w:r>
        <w:t>Dr. Werner-Karl Pohlmann-Brandenburg (1. Vorsitzender)</w:t>
      </w:r>
    </w:p>
    <w:p>
      <w:pPr>
        <w:pStyle w:val="ListBullet"/>
      </w:pPr>
      <w:r>
        <w:t>Hildegard Sauer-Brentano (2. Vorsitzende, Lehrerin)</w:t>
      </w:r>
    </w:p>
    <w:p>
      <w:pPr>
        <w:pStyle w:val="ListBullet"/>
      </w:pPr>
      <w:r>
        <w:t>Klaus-Dieter Werner-Tannenberg (Schatzmeister, Ingenieur i.R.)</w:t>
      </w:r>
    </w:p>
    <w:p>
      <w:pPr>
        <w:pStyle w:val="ListBullet"/>
      </w:pPr>
      <w:r>
        <w:t>Yannick Brügelmann (Pressesprecher, 28 J.)</w:t>
      </w:r>
    </w:p>
    <w:p>
      <w:pPr>
        <w:pStyle w:val="ListBullet"/>
      </w:pPr>
      <w:r>
        <w:t>Marlene Wischnewski-Strakuhl (Performance-Künstlerin)</w:t>
      </w:r>
    </w:p>
    <w:p>
      <w:pPr>
        <w:pStyle w:val="ListBullet"/>
      </w:pPr>
      <w:r>
        <w:t>RAin Dr. Friederike Hesselmann-Sauerbruch (telefonisch zugeschaltet ab 20:15)</w:t>
      </w:r>
    </w:p>
    <w:p>
      <w:pPr>
        <w:jc w:val="left"/>
      </w:pPr>
      <w:r>
        <w:rPr>
          <w:b/>
        </w:rPr>
        <w:t>Aktenzeichen Kanzlei:</w:t>
      </w:r>
      <w:r>
        <w:t xml:space="preserve"> PoPo-2026-VR-0617</w:t>
      </w:r>
    </w:p>
    <w:p>
      <w:pPr>
        <w:pStyle w:val="Heading2"/>
      </w:pPr>
      <w:r>
        <w:rPr>
          <w:rFonts w:ascii="Times New Roman" w:hAnsi="Times New Roman"/>
        </w:rPr>
        <w:t>TOP 1 — Bestandsaufnahme der polizeilichen Auflagen</w:t>
      </w:r>
    </w:p>
    <w:p>
      <w:pPr>
        <w:jc w:val="left"/>
      </w:pPr>
      <w:r>
        <w:t>Vorsitzender Dr. Pohlmann-Brandenburg verliest die acht Auflagen aus dem Bescheid vom 02.06.2026 (PolInsp SPN 2026-VS-0188). Die Stimmung ist gemischt: Einige Vorstände halten die Auflage zur Standortverlegung für hinnehmbar, da der Festplatz „immerhin in Forst" liegt; andere — vor allem Frau Wischnewski-Strakuhl — sehen darin den Kern eines Angriffs auf die Symbolik der Versammlung.</w:t>
      </w:r>
    </w:p>
    <w:p>
      <w:pPr>
        <w:pStyle w:val="Heading2"/>
      </w:pPr>
      <w:r>
        <w:rPr>
          <w:rFonts w:ascii="Times New Roman" w:hAnsi="Times New Roman"/>
        </w:rPr>
        <w:t>TOP 2 — Rechtliche Einschätzung (RAin Hesselmann-Sauerbruch)</w:t>
      </w:r>
    </w:p>
    <w:p>
      <w:pPr>
        <w:jc w:val="left"/>
      </w:pPr>
      <w:r>
        <w:t>Die zugeschaltete Anwältin gliedert ihre Stellungnahme nach den acht Auflagen:</w:t>
      </w:r>
    </w:p>
    <w:p>
      <w:pPr>
        <w:jc w:val="left"/>
      </w:pPr>
      <w:r>
        <w:rPr>
          <w:b/>
        </w:rPr>
        <w:t>Auflage 1 (Standortverlegung Festplatz):</w:t>
      </w:r>
    </w:p>
    <w:p>
      <w:pPr>
        <w:jc w:val="left"/>
      </w:pPr>
      <w:r>
        <w:t>„Symbolisch das Herzstück. Der Brunhildebrunnen wurde von Dr. Pohlmann-Brandenburg in der Anmeldung ausdrücklich als Versammlungsort gewählt — historisches Sandsteinrelief, Bezug zur Industrialisierung der Lausitz. Eine Verlegung 4,2 km außerhalb der Stadt entkernt die Demonstrationsbotschaft. BVerfG 2 BvR 1090/06 — Brokdorf-Folgejudikatur — ist hier zentral: Auflagen müssen die selbstgewählte Art der Versammlungsdurchführung respektieren."</w:t>
      </w:r>
    </w:p>
    <w:p>
      <w:pPr>
        <w:jc w:val="left"/>
      </w:pPr>
      <w:r>
        <w:rPr>
          <w:b/>
        </w:rPr>
        <w:t>Auflage 2 (Aufzugsverbot):</w:t>
      </w:r>
    </w:p>
    <w:p>
      <w:pPr>
        <w:jc w:val="left"/>
      </w:pPr>
      <w:r>
        <w:t>„Der Aufzug entlang Cottbuser Straße zum Marktplatz ist zentraler Versammlungsbestandteil. Ein generelles Aufzugsverbot ist ein Eingriff in die Gestaltungsfreiheit. Erforderlichkeit fraglich — milderes Mittel: Aufzug mit Routenbegrenzung, Ordnergestellung."</w:t>
      </w:r>
    </w:p>
    <w:p>
      <w:pPr>
        <w:jc w:val="left"/>
      </w:pPr>
      <w:r>
        <w:rPr>
          <w:b/>
        </w:rPr>
        <w:t>Auflage 3 (Pyrotechnikverbot):</w:t>
      </w:r>
    </w:p>
    <w:p>
      <w:pPr>
        <w:jc w:val="left"/>
      </w:pPr>
      <w:r>
        <w:t>„Aus unserer Sicht keine Probleme — der Veranstalter hat in der Stellungnahme vom 31.05.2026 ohnehin auf Pyrotechnik verzichtet. Auflage ist rein deklaratorisch und greift nicht ein. Geeignet und angemessen."</w:t>
      </w:r>
    </w:p>
    <w:p>
      <w:pPr>
        <w:jc w:val="left"/>
      </w:pPr>
      <w:r>
        <w:rPr>
          <w:b/>
        </w:rPr>
        <w:t>Auflage 4 (75 dB(A)):</w:t>
      </w:r>
    </w:p>
    <w:p>
      <w:pPr>
        <w:jc w:val="left"/>
      </w:pPr>
      <w:r>
        <w:t>„Schalltechnisch knapp. Bei einer Versammlung mit 800–1200 Teilnehmern und Lautsprecheranlage liegen Spitzenwerte regelmäßig bei 82–88 dB(A). Eine pauschale 75-dB-Grenze ist faktisch ein Lautsprecherverbot. Hier wird ein schalltechnisches Gutachten erforderlich."</w:t>
      </w:r>
    </w:p>
    <w:p>
      <w:pPr>
        <w:jc w:val="left"/>
      </w:pPr>
      <w:r>
        <w:rPr>
          <w:b/>
        </w:rPr>
        <w:t>Auflage 5 (Verkürzung 14:00–17:00):</w:t>
      </w:r>
    </w:p>
    <w:p>
      <w:pPr>
        <w:jc w:val="left"/>
      </w:pPr>
      <w:r>
        <w:t>„Sechs Stunden Versammlungsdauer (12:00–18:00) hat der Veranstalter angemeldet. Verkürzung auf drei Stunden halbiert die Versammlungszeit. Die Behörde begründet das mit Eskalationswahrscheinlichkeit; das ist eine pauschale, nicht-versammlungsspezifische Annahme. Unverhältnismäßig."</w:t>
      </w:r>
    </w:p>
    <w:p>
      <w:pPr>
        <w:jc w:val="left"/>
      </w:pPr>
      <w:r>
        <w:rPr>
          <w:b/>
        </w:rPr>
        <w:t>Auflage 6 (Verbot Erdaushebung-Performance):</w:t>
      </w:r>
    </w:p>
    <w:p>
      <w:pPr>
        <w:jc w:val="left"/>
      </w:pPr>
      <w:r>
        <w:t>„Performance-rechtlich heikel. Die Aushebung von symbolischer Erde auf einer Palette (also nicht im Straßenpflaster) fällt in den Schutzbereich von Art. 5 III GG (Kunstfreiheit) und Art. 8 GG zugleich. Ein Verbot mit der Begründung 'könnte als Aufruf zu Sachbeschädigung verstanden werden' ist verfassungsrechtlich nicht haltbar. Hier sollten wir eine ausführliche Performance-Konzeptbeschreibung nachreichen."</w:t>
      </w:r>
    </w:p>
    <w:p>
      <w:pPr>
        <w:jc w:val="left"/>
      </w:pPr>
      <w:r>
        <w:rPr>
          <w:b/>
        </w:rPr>
        <w:t>Auflage 7 (Anwesenheitspflicht des Versammlungsleiters):</w:t>
      </w:r>
    </w:p>
    <w:p>
      <w:pPr>
        <w:jc w:val="left"/>
      </w:pPr>
      <w:r>
        <w:t>„Folgt unmittelbar aus § 18 VersG. Hinnehmbar."</w:t>
      </w:r>
    </w:p>
    <w:p>
      <w:pPr>
        <w:jc w:val="left"/>
      </w:pPr>
      <w:r>
        <w:rPr>
          <w:b/>
        </w:rPr>
        <w:t>Auflage 8 (Drei Ordner mit Führungszeugnis):</w:t>
      </w:r>
    </w:p>
    <w:p>
      <w:pPr>
        <w:jc w:val="left"/>
      </w:pPr>
      <w:r>
        <w:t>„Führungszeugnispflicht für ehrenamtliche Ordner ist ein zusätzlicher Eingriff. Die drei vorgesehenen Ordner — Herr Schulz-Pötke, Frau Mautz und Herr Krieger — haben keine Vorstrafen, aber das Verlangen, ein Führungszeugnis vorzulegen, ist eine Datenschutzfrage und eine Schikane-Anmutung. Ich rate, die Führungszeugnisse vorzulegen (innerhalb von 36 Stunden machbar) und parallel gegen diese Auflage zu klagen."</w:t>
      </w:r>
    </w:p>
    <w:p>
      <w:pPr>
        <w:pStyle w:val="Heading2"/>
      </w:pPr>
      <w:r>
        <w:rPr>
          <w:rFonts w:ascii="Times New Roman" w:hAnsi="Times New Roman"/>
        </w:rPr>
        <w:t>TOP 3 — Eilrechtsschutz oder Verhandlungslösung?</w:t>
      </w:r>
    </w:p>
    <w:p>
      <w:pPr>
        <w:jc w:val="left"/>
      </w:pPr>
      <w:r>
        <w:t>Frau Sauer-Brentano: „Können wir nicht mit der Polizei reden? Vielleicht gibt es einen Kompromiss?"</w:t>
      </w:r>
    </w:p>
    <w:p>
      <w:pPr>
        <w:jc w:val="left"/>
      </w:pPr>
      <w:r>
        <w:t>RAin Hesselmann-Sauerbruch: „Erfahrungsgemäß sind Polizeiinspektionen nach Bescheiderlass nur noch begrenzt verhandlungsbereit. Ich empfehle: parallel zwei Spuren. Erstens Eilantrag nach § 80 V VwGO beim VG Cottbus, Frist möglichst Donnerstag 11.06.2026 — das gibt dem Gericht zwei volle Tage bis zur Versammlung. Zweitens informelle Anfrage bei PolInsp SPN, ob Auflagen 1 (Standort), 2 (Aufzug) und 6 (Performance) im Wege der Selbstkorrektur zurückgenommen werden."</w:t>
      </w:r>
    </w:p>
    <w:p>
      <w:pPr>
        <w:jc w:val="left"/>
      </w:pPr>
      <w:r>
        <w:t xml:space="preserve">Beschluss einstimmig: </w:t>
      </w:r>
      <w:r>
        <w:rPr>
          <w:b/>
        </w:rPr>
        <w:t>Beide Spuren werden parallel beschritten.</w:t>
      </w:r>
    </w:p>
    <w:p>
      <w:pPr>
        <w:pStyle w:val="Heading2"/>
      </w:pPr>
      <w:r>
        <w:rPr>
          <w:rFonts w:ascii="Times New Roman" w:hAnsi="Times New Roman"/>
        </w:rPr>
        <w:t>TOP 4 — Mandatierung</w:t>
      </w:r>
    </w:p>
    <w:p>
      <w:pPr>
        <w:jc w:val="left"/>
      </w:pPr>
      <w:r>
        <w:t>Der Vorstand mandatiert RAin Dr. Hesselmann-Sauerbruch mit der Klagewahrnehmung. Vollmacht wird per beA übermittelt. Auslagenvorschuss 2.500 EUR wird sofort überwiesen (Schatzmeister Werner-Tannenberg, Mittag 04.06.2026).</w:t>
      </w:r>
    </w:p>
    <w:p>
      <w:pPr>
        <w:pStyle w:val="Heading2"/>
      </w:pPr>
      <w:r>
        <w:rPr>
          <w:rFonts w:ascii="Times New Roman" w:hAnsi="Times New Roman"/>
        </w:rPr>
        <w:t>TOP 5 — Performance-Konzept</w:t>
      </w:r>
    </w:p>
    <w:p>
      <w:pPr>
        <w:jc w:val="left"/>
      </w:pPr>
      <w:r>
        <w:t>Frau Wischnewski-Strakuhl wird gebeten, bis Freitag 05.06.2026 ein detailliertes Performance-Konzept (Erdaushebung) vorzulegen, das nachweist, dass keine Sachbeschädigung am öffentlichen Pflaster erfolgt. Erde wird in vorbereiteten Holzpaletten von 1,20 m x 0,80 m bereitgestellt.</w:t>
      </w:r>
    </w:p>
    <w:p>
      <w:pPr>
        <w:pStyle w:val="Heading2"/>
      </w:pPr>
      <w:r>
        <w:rPr>
          <w:rFonts w:ascii="Times New Roman" w:hAnsi="Times New Roman"/>
        </w:rPr>
        <w:t>TOP 6 — Pressestrategie</w:t>
      </w:r>
    </w:p>
    <w:p>
      <w:pPr>
        <w:jc w:val="left"/>
      </w:pPr>
      <w:r>
        <w:t>Yannick Brügelmann: „Pressemitteilung am Freitag, 05.06.2026, mit Ankündigung des Eilantrags. Ton sachlich, nicht polemisch. Schwerpunkt: Versammlungsfreiheit als Bürgerrecht."</w:t>
      </w:r>
    </w:p>
    <w:p>
      <w:pPr>
        <w:jc w:val="left"/>
      </w:pPr>
      <w:r>
        <w:rPr>
          <w:b/>
        </w:rPr>
        <w:t>Sitzung beendet 22:30 Uhr.</w:t>
      </w:r>
    </w:p>
    <w:p>
      <w:pPr>
        <w:jc w:val="left"/>
      </w:pPr>
      <w:r>
        <w:t>gez. Hildegard Sauer-Brentano, Protokollführerin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