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Padlet-Auswertung: Vier-Stufen-Lehre an der Akte Pohlmann-Forst</w:t>
      </w:r>
    </w:p>
    <w:p>
      <w:pPr>
        <w:jc w:val="left"/>
      </w:pPr>
      <w:r>
        <w:rPr>
          <w:b/>
        </w:rPr>
        <w:t>Erstellt für:</w:t>
      </w:r>
      <w:r>
        <w:t xml:space="preserve"> Schulungsmaterial Verhältnismäßigkeitsprüfer-Plugin v231</w:t>
      </w:r>
    </w:p>
    <w:p>
      <w:pPr>
        <w:jc w:val="left"/>
      </w:pPr>
      <w:r>
        <w:rPr>
          <w:b/>
        </w:rPr>
        <w:t>Bearbeitung:</w:t>
      </w:r>
      <w:r>
        <w:t xml:space="preserve"> RAin Dr. Friederike Hesselmann-Sauerbruch / Plugin-Redaktion</w:t>
      </w:r>
    </w:p>
    <w:p>
      <w:pPr>
        <w:jc w:val="left"/>
      </w:pPr>
      <w:r>
        <w:rPr>
          <w:b/>
        </w:rPr>
        <w:t>Datum:</w:t>
      </w:r>
      <w:r>
        <w:t xml:space="preserve"> 15.06.2026</w:t>
      </w:r>
    </w:p>
    <w:p>
      <w:pPr>
        <w:pStyle w:val="Heading2"/>
      </w:pPr>
      <w:r>
        <w:rPr>
          <w:rFonts w:ascii="Times New Roman" w:hAnsi="Times New Roman"/>
        </w:rPr>
        <w:t>Stufe 1 — Schutzbereich</w:t>
      </w:r>
    </w:p>
    <w:p>
      <w:pPr>
        <w:jc w:val="left"/>
      </w:pPr>
      <w:r>
        <w:rPr>
          <w:b/>
        </w:rPr>
        <w:t>Betroffen:</w:t>
      </w:r>
      <w:r>
        <w:t xml:space="preserve"> Art. 8 I GG (Versammlungsfreiheit, friedlich und ohne Waffen).</w:t>
      </w:r>
    </w:p>
    <w:p>
      <w:pPr>
        <w:jc w:val="left"/>
      </w:pPr>
      <w:r>
        <w:rPr>
          <w:b/>
        </w:rPr>
        <w:t>Erweitert:</w:t>
      </w:r>
      <w:r>
        <w:t xml:space="preserve"> Art. 5 III GG (Kunstfreiheit) für die Performance „Lausitz weint Kohlentränen".</w:t>
      </w:r>
    </w:p>
    <w:p>
      <w:pPr>
        <w:jc w:val="left"/>
      </w:pPr>
      <w:r>
        <w:rPr>
          <w:b/>
        </w:rPr>
        <w:t>Doppelschicht:</w:t>
      </w:r>
      <w:r>
        <w:t xml:space="preserve"> Die Versammlung umfasst künstlerische Inhalte; beide Grundrechte greifen kumulativ.</w:t>
      </w:r>
    </w:p>
    <w:p>
      <w:pPr>
        <w:pStyle w:val="Heading2"/>
      </w:pPr>
      <w:r>
        <w:rPr>
          <w:rFonts w:ascii="Times New Roman" w:hAnsi="Times New Roman"/>
        </w:rPr>
        <w:t>Stufe 2 — Eingriff</w:t>
      </w:r>
    </w:p>
    <w:p>
      <w:pPr>
        <w:jc w:val="left"/>
      </w:pPr>
      <w:r>
        <w:t>Acht polizeiliche Auflagen, die in unterschiedlicher Tiefe in die Versammlungsdurchführung eingreifen:</w:t>
      </w:r>
    </w:p>
    <w:p>
      <w:pPr>
        <w:pStyle w:val="ListBullet"/>
      </w:pPr>
      <w:r>
        <w:t>Standortverlegung 4,2 km (Auflage 1) — schwerer Eingriff in Ortswahl.</w:t>
      </w:r>
    </w:p>
    <w:p>
      <w:pPr>
        <w:pStyle w:val="ListBullet"/>
      </w:pPr>
      <w:r>
        <w:t>Aufzugsverbot (Auflage 2) — schwerer Eingriff in Gestaltungsform.</w:t>
      </w:r>
    </w:p>
    <w:p>
      <w:pPr>
        <w:pStyle w:val="ListBullet"/>
      </w:pPr>
      <w:r>
        <w:t>Pyrotechnikverbot (Auflage 3) — geringer Eingriff (deklaratorisch).</w:t>
      </w:r>
    </w:p>
    <w:p>
      <w:pPr>
        <w:pStyle w:val="ListBullet"/>
      </w:pPr>
      <w:r>
        <w:t>Lautstärkebegrenzung 75 dB(A) (Auflage 4) — mittlerer Eingriff (faktisches Lautsprecherverbot).</w:t>
      </w:r>
    </w:p>
    <w:p>
      <w:pPr>
        <w:pStyle w:val="ListBullet"/>
      </w:pPr>
      <w:r>
        <w:t>Verkürzung 14:00–17:00 (Auflage 5) — schwerer Eingriff (50 % weniger Versammlungszeit).</w:t>
      </w:r>
    </w:p>
    <w:p>
      <w:pPr>
        <w:pStyle w:val="ListBullet"/>
      </w:pPr>
      <w:r>
        <w:t>Performance-Verbot (Auflage 6) — schwerer Eingriff in Kunstfreiheit.</w:t>
      </w:r>
    </w:p>
    <w:p>
      <w:pPr>
        <w:pStyle w:val="ListBullet"/>
      </w:pPr>
      <w:r>
        <w:t>Anwesenheitspflicht Versammlungsleiter (Auflage 7) — geringer Eingriff (Wiederholung § 18 VersG).</w:t>
      </w:r>
    </w:p>
    <w:p>
      <w:pPr>
        <w:pStyle w:val="ListBullet"/>
      </w:pPr>
      <w:r>
        <w:t>Führungszeugnisse Ordner (Auflage 8) — mittlerer Eingriff (Datenschutz).</w:t>
      </w:r>
    </w:p>
    <w:p>
      <w:pPr>
        <w:pStyle w:val="Heading2"/>
      </w:pPr>
      <w:r>
        <w:rPr>
          <w:rFonts w:ascii="Times New Roman" w:hAnsi="Times New Roman"/>
        </w:rPr>
        <w:t>Stufe 3 — Verfassungsrechtliche Rechtfertigung</w:t>
      </w:r>
    </w:p>
    <w:p>
      <w:pPr>
        <w:pStyle w:val="Heading3"/>
      </w:pPr>
      <w:r>
        <w:rPr>
          <w:rFonts w:ascii="Times New Roman" w:hAnsi="Times New Roman"/>
        </w:rPr>
        <w:t>3a) Legitimer Zweck</w:t>
      </w:r>
    </w:p>
    <w:p>
      <w:pPr>
        <w:pStyle w:val="ListBullet"/>
      </w:pPr>
      <w:r>
        <w:t xml:space="preserve">Sicherheit am Marktplatz, Schutz des Brunhildebrunnens, Verkehr Cottbuser Straße, Schutz der Anlieger (insbes. ältere Mieterin Berliner Str. 47): </w:t>
      </w:r>
      <w:r>
        <w:rPr>
          <w:b/>
        </w:rPr>
        <w:t>alle legitim</w:t>
      </w:r>
      <w:r>
        <w:t>.</w:t>
      </w:r>
    </w:p>
    <w:p>
      <w:pPr>
        <w:pStyle w:val="ListBullet"/>
      </w:pPr>
      <w:r>
        <w:t xml:space="preserve">„Verhinderung als Aufruf zu Sachbeschädigung an Tagebau-Infrastruktur": </w:t>
      </w:r>
      <w:r>
        <w:rPr>
          <w:b/>
        </w:rPr>
        <w:t>nicht versammlungsrechtlich tragend</w:t>
      </w:r>
      <w:r>
        <w:t xml:space="preserve"> (Auflage 6).</w:t>
      </w:r>
    </w:p>
    <w:p>
      <w:pPr>
        <w:pStyle w:val="Heading3"/>
      </w:pPr>
      <w:r>
        <w:rPr>
          <w:rFonts w:ascii="Times New Roman" w:hAnsi="Times New Roman"/>
        </w:rPr>
        <w:t>3b) Geeignetheit</w:t>
      </w:r>
    </w:p>
    <w:p>
      <w:pPr>
        <w:pStyle w:val="ListBullet"/>
      </w:pPr>
      <w:r>
        <w:t>Standortverlegung: zweifelhaft (auch auf Festplatz Sachbeschädigung denkbar).</w:t>
      </w:r>
    </w:p>
    <w:p>
      <w:pPr>
        <w:pStyle w:val="ListBullet"/>
      </w:pPr>
      <w:r>
        <w:t>Aufzugsverbot: ungeeignet (Verkehr wird auch ohne Aufzug durch Versammlung am Marktplatz gestört).</w:t>
      </w:r>
    </w:p>
    <w:p>
      <w:pPr>
        <w:pStyle w:val="ListBullet"/>
      </w:pPr>
      <w:r>
        <w:t>Pyrotechnikverbot: geeignet.</w:t>
      </w:r>
    </w:p>
    <w:p>
      <w:pPr>
        <w:pStyle w:val="ListBullet"/>
      </w:pPr>
      <w:r>
        <w:t>75-dB-Grenze: geeignet (verringert Lärm), aber faktisch enttötende Wirkung.</w:t>
      </w:r>
    </w:p>
    <w:p>
      <w:pPr>
        <w:pStyle w:val="ListBullet"/>
      </w:pPr>
      <w:r>
        <w:t>Verkürzung: nicht ausreichend belegt, dass nach 17:00 Uhr besondere Risiken entstehen.</w:t>
      </w:r>
    </w:p>
    <w:p>
      <w:pPr>
        <w:pStyle w:val="Heading3"/>
      </w:pPr>
      <w:r>
        <w:rPr>
          <w:rFonts w:ascii="Times New Roman" w:hAnsi="Times New Roman"/>
        </w:rPr>
        <w:t>3c) Erforderlichkeit (mildestes Mittel)</w:t>
      </w:r>
    </w:p>
    <w:p>
      <w:pPr>
        <w:pStyle w:val="ListBullet"/>
      </w:pPr>
      <w:r>
        <w:t>Standortverlegung: mildere Mittel (Absperrgitter, Sichtkontrolle) ersichtlich.</w:t>
      </w:r>
    </w:p>
    <w:p>
      <w:pPr>
        <w:pStyle w:val="ListBullet"/>
      </w:pPr>
      <w:r>
        <w:t>Aufzugsverbot: mildere Mittel (Routenführung mit Polizeibegleitung) ersichtlich.</w:t>
      </w:r>
    </w:p>
    <w:p>
      <w:pPr>
        <w:pStyle w:val="ListBullet"/>
      </w:pPr>
      <w:r>
        <w:t>75-dB-Grenze: mildere Mittel (höhere Grenze mit Spitzenpegel-Regelung) ersichtlich.</w:t>
      </w:r>
    </w:p>
    <w:p>
      <w:pPr>
        <w:pStyle w:val="ListBullet"/>
      </w:pPr>
      <w:r>
        <w:t>Verkürzung: mildere Mittel (Spätauflagen ab 17:00) ersichtlich.</w:t>
      </w:r>
    </w:p>
    <w:p>
      <w:pPr>
        <w:pStyle w:val="Heading3"/>
      </w:pPr>
      <w:r>
        <w:rPr>
          <w:rFonts w:ascii="Times New Roman" w:hAnsi="Times New Roman"/>
        </w:rPr>
        <w:t>3d) Angemessenheit (proportionalité au sens étroit)</w:t>
      </w:r>
    </w:p>
    <w:p>
      <w:pPr>
        <w:pStyle w:val="ListBullet"/>
      </w:pPr>
      <w:r>
        <w:t xml:space="preserve">Standortverlegung: schwerer Eingriff vs. nicht-versammlungsspezifisches Risiko — </w:t>
      </w:r>
      <w:r>
        <w:rPr>
          <w:b/>
        </w:rPr>
        <w:t>unangemessen</w:t>
      </w:r>
      <w:r>
        <w:t>.</w:t>
      </w:r>
    </w:p>
    <w:p>
      <w:pPr>
        <w:pStyle w:val="ListBullet"/>
      </w:pPr>
      <w:r>
        <w:t xml:space="preserve">Aufzugsverbot: schwerer Eingriff vs. moderater Verkehrsstörung — </w:t>
      </w:r>
      <w:r>
        <w:rPr>
          <w:b/>
        </w:rPr>
        <w:t>unangemessen</w:t>
      </w:r>
      <w:r>
        <w:t>.</w:t>
      </w:r>
    </w:p>
    <w:p>
      <w:pPr>
        <w:pStyle w:val="ListBullet"/>
      </w:pPr>
      <w:r>
        <w:t xml:space="preserve">75-dB-Grenze: faktisches Lautsprecherverbot vs. Anliegerschutz — </w:t>
      </w:r>
      <w:r>
        <w:rPr>
          <w:b/>
        </w:rPr>
        <w:t>unangemessen</w:t>
      </w:r>
      <w:r>
        <w:t xml:space="preserve"> in dieser Strenge.</w:t>
      </w:r>
    </w:p>
    <w:p>
      <w:pPr>
        <w:pStyle w:val="ListBullet"/>
      </w:pPr>
      <w:r>
        <w:t xml:space="preserve">Performance-Verbot: schwerer Eingriff in Kunstfreiheit vs. spekulative Ansteckungswirkung — </w:t>
      </w:r>
      <w:r>
        <w:rPr>
          <w:b/>
        </w:rPr>
        <w:t>unangemessen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Stufe 4 — Schranken-Schranken-Schranke</w:t>
      </w:r>
    </w:p>
    <w:p>
      <w:pPr>
        <w:pStyle w:val="Heading3"/>
      </w:pPr>
      <w:r>
        <w:rPr>
          <w:rFonts w:ascii="Times New Roman" w:hAnsi="Times New Roman"/>
        </w:rPr>
        <w:t>Wesentlichkeitsvorbehalt</w:t>
      </w:r>
    </w:p>
    <w:p>
      <w:pPr>
        <w:jc w:val="left"/>
      </w:pPr>
      <w:r>
        <w:t>§ 18 VersG i.V.m. § 15 VersG bietet eine ausreichende Eingriffsgrundlage; die Spezialermächtigung für Führungszeugnisse fehlt jedoch (Auflage 8).</w:t>
      </w:r>
    </w:p>
    <w:p>
      <w:pPr>
        <w:pStyle w:val="Heading3"/>
      </w:pPr>
      <w:r>
        <w:rPr>
          <w:rFonts w:ascii="Times New Roman" w:hAnsi="Times New Roman"/>
        </w:rPr>
        <w:t>Bestimmtheitsgrundsatz</w:t>
      </w:r>
    </w:p>
    <w:p>
      <w:pPr>
        <w:jc w:val="left"/>
      </w:pPr>
      <w:r>
        <w:t xml:space="preserve">Auflage 4 („75 dB(A)") ist als starre Grenze ohne Spitzenpegel- und Mittelungsregelung </w:t>
      </w:r>
      <w:r>
        <w:rPr>
          <w:b/>
        </w:rPr>
        <w:t>unbestimmt</w:t>
      </w:r>
      <w:r>
        <w:t xml:space="preserve"> in der praktischen Anwendung.</w:t>
      </w:r>
    </w:p>
    <w:p>
      <w:pPr>
        <w:pStyle w:val="Heading3"/>
      </w:pPr>
      <w:r>
        <w:rPr>
          <w:rFonts w:ascii="Times New Roman" w:hAnsi="Times New Roman"/>
        </w:rPr>
        <w:t>Verfassungskonforme Auslegung</w:t>
      </w:r>
    </w:p>
    <w:p>
      <w:pPr>
        <w:jc w:val="left"/>
      </w:pPr>
      <w:r>
        <w:t>Auflage 7 (Anwesenheitspflicht Versammlungsleiter) konnte verfassungskonform ausgelegt werden und blieb bestehen.</w:t>
      </w:r>
    </w:p>
    <w:p>
      <w:pPr>
        <w:pStyle w:val="Heading2"/>
      </w:pPr>
      <w:r>
        <w:rPr>
          <w:rFonts w:ascii="Times New Roman" w:hAnsi="Times New Roman"/>
        </w:rPr>
        <w:t>Ergebnis</w:t>
      </w:r>
    </w:p>
    <w:p>
      <w:pPr>
        <w:jc w:val="left"/>
      </w:pPr>
      <w:r>
        <w:rPr>
          <w:b/>
        </w:rPr>
        <w:t>Acht Auflagen — fünf vollständig rechtswidrig, eine teilweise rechtswidrig, zwei rechtmäßig.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 — Standortverlegung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rechtswidrig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 — Aufzugsverbot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rechtswidrig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 — Pyrotechnikverbot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rechtmäßig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 — 75 dB(A)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teilrechtswidrig</w:t>
            </w:r>
            <w:r>
              <w:rPr>
                <w:rFonts w:ascii="Times New Roman" w:hAnsi="Times New Roman"/>
                <w:sz w:val="20"/>
              </w:rPr>
              <w:t>, modifiziert auf 82 dB(A)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 — Verkürzung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rechtswidrig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 — Performance-Verbot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rechtswidrig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 — Anwesenheitspflicht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rechtmäßig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 — Führungszeugnisse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rechtswidrig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Pohlmann-Forst als Lehrstück</w:t>
      </w:r>
    </w:p>
    <w:p>
      <w:pPr>
        <w:jc w:val="left"/>
      </w:pPr>
      <w:r>
        <w:t xml:space="preserve">Die Akte Pohlmann-Forst zeigt, </w:t>
      </w:r>
      <w:r>
        <w:rPr>
          <w:b/>
        </w:rPr>
        <w:t>wie wichtig die saubere Durcharbeitung der vier Stufen ist</w:t>
      </w:r>
      <w:r>
        <w:t>. In der Praxis neigen Versammlungsbehörden dazu, „Auflagenpakete" zu schnüren, die in der Summe wirksamer erscheinen, als sie es einzeln gesehen wären. Erst die schrittweise Prüfung — Schutzbereich, Eingriff, Rechtfertigung, Schranken-Schranke — entlarvt, dass mehrere dieser Auflagen die Versammlung faktisch enttöten würden.</w:t>
      </w:r>
    </w:p>
    <w:p>
      <w:pPr>
        <w:jc w:val="left"/>
      </w:pPr>
      <w:r>
        <w:t>gez. Plugin-Redaktion Verhältnismäßigkeitsprüfer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