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Vorbereitung Fortsetzungsfeststellungsklage VG Cottbus</w:t>
      </w:r>
    </w:p>
    <w:p>
      <w:pPr>
        <w:jc w:val="left"/>
      </w:pPr>
      <w:r>
        <w:rPr>
          <w:b/>
        </w:rPr>
        <w:t>Kanzleiakte:</w:t>
      </w:r>
      <w:r>
        <w:t xml:space="preserve"> PoPo-2026-VR-0617</w:t>
      </w:r>
    </w:p>
    <w:p>
      <w:pPr>
        <w:jc w:val="left"/>
      </w:pPr>
      <w:r>
        <w:rPr>
          <w:b/>
        </w:rPr>
        <w:t>Verfasserin:</w:t>
      </w:r>
      <w:r>
        <w:t xml:space="preserve"> RAin Dr. Friederike Hesselmann-Sauerbruch</w:t>
      </w:r>
    </w:p>
    <w:p>
      <w:pPr>
        <w:jc w:val="left"/>
      </w:pPr>
      <w:r>
        <w:rPr>
          <w:b/>
        </w:rPr>
        <w:t>Datum:</w:t>
      </w:r>
      <w:r>
        <w:t xml:space="preserve"> 18.06.2026 (Tag nach erledigter Versammlung)</w:t>
      </w:r>
    </w:p>
    <w:p>
      <w:pPr>
        <w:jc w:val="left"/>
      </w:pPr>
      <w:r>
        <w:rPr>
          <w:b/>
        </w:rPr>
        <w:t>Mandantin:</w:t>
      </w:r>
      <w:r>
        <w:t xml:space="preserve"> Initiative Lausitzer Lebensraum e.V.</w:t>
      </w:r>
    </w:p>
    <w:p>
      <w:pPr>
        <w:pStyle w:val="Heading2"/>
      </w:pPr>
      <w:r>
        <w:rPr>
          <w:rFonts w:ascii="Times New Roman" w:hAnsi="Times New Roman"/>
        </w:rPr>
        <w:t>Stand</w:t>
      </w:r>
    </w:p>
    <w:p>
      <w:pPr>
        <w:jc w:val="left"/>
      </w:pPr>
      <w:r>
        <w:t xml:space="preserve">Die Versammlung vom 17.06.2026 hat am Brunhildebrunnen in Forst (Lausitz) auf Grundlage des Beschlusses des VG Cottbus 3 L 188/26 vom 11.06.2026 ohne Vorfaelle stattgefunden. Die Polizeiverfuegung vom 02.06.2026 (Az PolPraes COT-2026-VS-0188) hat sich damit </w:t>
      </w:r>
      <w:r>
        <w:rPr>
          <w:b/>
        </w:rPr>
        <w:t>erledigt</w:t>
      </w:r>
      <w:r>
        <w:t>. Die Antragsgegnerin hat auf eine Beschwerde nach § 146 VwGO verzichtet (Aktenstueck 16).</w:t>
      </w:r>
    </w:p>
    <w:p>
      <w:pPr>
        <w:pStyle w:val="Heading2"/>
      </w:pPr>
      <w:r>
        <w:rPr>
          <w:rFonts w:ascii="Times New Roman" w:hAnsi="Times New Roman"/>
        </w:rPr>
        <w:t>Frage</w:t>
      </w:r>
    </w:p>
    <w:p>
      <w:pPr>
        <w:jc w:val="left"/>
      </w:pPr>
      <w:r>
        <w:t xml:space="preserve">Soll trotz Erledigung eine </w:t>
      </w:r>
      <w:r>
        <w:rPr>
          <w:b/>
        </w:rPr>
        <w:t>Fortsetzungsfeststellungsklage nach § 113 Abs. 1 Satz 4 VwGO</w:t>
      </w:r>
      <w:r>
        <w:t xml:space="preserve"> erhoben werden?</w:t>
      </w:r>
    </w:p>
    <w:p>
      <w:pPr>
        <w:pStyle w:val="Heading2"/>
      </w:pPr>
      <w:r>
        <w:rPr>
          <w:rFonts w:ascii="Times New Roman" w:hAnsi="Times New Roman"/>
        </w:rPr>
        <w:t>Beurteilung</w:t>
      </w:r>
    </w:p>
    <w:p>
      <w:pPr>
        <w:pStyle w:val="Heading3"/>
      </w:pPr>
      <w:r>
        <w:rPr>
          <w:rFonts w:ascii="Times New Roman" w:hAnsi="Times New Roman"/>
        </w:rPr>
        <w:t>A. Berechtigtes Interesse (§ 113 Abs. 1 Satz 4 VwGO)</w:t>
      </w:r>
    </w:p>
    <w:p>
      <w:pPr>
        <w:jc w:val="left"/>
      </w:pPr>
      <w:r>
        <w:t>Vier anerkannte Fallgruppen kommen in Betracht:</w:t>
      </w:r>
    </w:p>
    <w:p>
      <w:pPr>
        <w:pStyle w:val="ListNumber"/>
      </w:pPr>
      <w:r>
        <w:rPr>
          <w:b/>
        </w:rPr>
        <w:t>Wiederholungsgefahr</w:t>
      </w:r>
      <w:r>
        <w:t xml:space="preserve"> — die Initiative plant fuer den 17.06.2027 eine Folgeversammlung am Brunhildebrunnen, vermutlich mit aehnlicher Performance. Es ist mit gleichgelagerter Polizeiverfuegung zu rechnen. Die Wiederholungsgefahr ist konkret und greifbar.</w:t>
      </w:r>
    </w:p>
    <w:p>
      <w:pPr>
        <w:pStyle w:val="ListNumber"/>
      </w:pPr>
      <w:r>
        <w:rPr>
          <w:b/>
        </w:rPr>
        <w:t>Rehabilitationsinteresse</w:t>
      </w:r>
      <w:r>
        <w:t xml:space="preserve"> — die Polizeiverfuegung hat in der Cottbuser Presse (Lausitzer Rundschau vom 03.06.2026) die Mandantin als "Aktivisten mit Sachbeschaedigungsbereitschaft" gerahmt. Eine gerichtliche Feststellung der Rechtswidrigkeit dient der Wiederherstellung des Ansehens des Vereins.</w:t>
      </w:r>
    </w:p>
    <w:p>
      <w:pPr>
        <w:pStyle w:val="ListNumber"/>
      </w:pPr>
      <w:r>
        <w:rPr>
          <w:b/>
        </w:rPr>
        <w:t>Diskriminierungsverbot Art. 8 GG</w:t>
      </w:r>
      <w:r>
        <w:t xml:space="preserve"> — bei Grundrechtseingriffen mit tief greifender Wirkung wird ein berechtigtes Interesse regelmaessig anerkannt (BVerfGE 96, 27; BVerfGE 110, 77). Versammlungsverbote oder versammlungsfeindliche Auflagen sind hier einschlaegig.</w:t>
      </w:r>
    </w:p>
    <w:p>
      <w:pPr>
        <w:pStyle w:val="ListNumber"/>
      </w:pPr>
      <w:r>
        <w:t>Praejudizielles Interesse fuer Schadensersatzanspruch — die Initiative haette eventuell Anspruch auf Erstattung des Schallgutachtens (Aktenstueck 10) gegen das Land Brandenburg ueber § 839 BGB, Art. 34 GG.</w:t>
      </w:r>
    </w:p>
    <w:p>
      <w:pPr>
        <w:jc w:val="left"/>
      </w:pPr>
      <w:r>
        <w:t>Die Fallgruppen 1, 2 und 3 tragen ein berechtigtes Interesse zweifelsfrei.</w:t>
      </w:r>
    </w:p>
    <w:p>
      <w:pPr>
        <w:pStyle w:val="Heading3"/>
      </w:pPr>
      <w:r>
        <w:rPr>
          <w:rFonts w:ascii="Times New Roman" w:hAnsi="Times New Roman"/>
        </w:rPr>
        <w:t>B. Klageumfang</w:t>
      </w:r>
    </w:p>
    <w:p>
      <w:pPr>
        <w:jc w:val="left"/>
      </w:pPr>
      <w:r>
        <w:t>Die Klage soll auf Feststellung gerichtet sein,</w:t>
      </w:r>
    </w:p>
    <w:p>
      <w:pPr>
        <w:ind w:left="567"/>
      </w:pPr>
      <w:r>
        <w:rPr>
          <w:i/>
        </w:rPr>
        <w:t>dass die Auflagen 1, 2, 4, 5, 6 und 8 der Polizeiverfuegung vom 02.06.2026 rechtswidrig waren.</w:t>
      </w:r>
    </w:p>
    <w:p>
      <w:pPr>
        <w:jc w:val="left"/>
      </w:pPr>
      <w:r>
        <w:t>Auflagen 3 und 7 bleiben unangefochten.</w:t>
      </w:r>
    </w:p>
    <w:p>
      <w:pPr>
        <w:pStyle w:val="Heading3"/>
      </w:pPr>
      <w:r>
        <w:rPr>
          <w:rFonts w:ascii="Times New Roman" w:hAnsi="Times New Roman"/>
        </w:rPr>
        <w:t>C. Zustaendiges Gericht</w:t>
      </w:r>
    </w:p>
    <w:p>
      <w:pPr>
        <w:jc w:val="left"/>
      </w:pPr>
      <w:r>
        <w:t>Verwaltungsgericht Cottbus, 3. Kammer (Vor. RiVG Dr. Marquardt-Heuser); sachliche und oertliche Zustaendigkeit nach §§ 45, 52 Nr. 3 VwGO.</w:t>
      </w:r>
    </w:p>
    <w:p>
      <w:pPr>
        <w:pStyle w:val="Heading3"/>
      </w:pPr>
      <w:r>
        <w:rPr>
          <w:rFonts w:ascii="Times New Roman" w:hAnsi="Times New Roman"/>
        </w:rPr>
        <w:t>D. Streitwert</w:t>
      </w:r>
    </w:p>
    <w:p>
      <w:pPr>
        <w:jc w:val="left"/>
      </w:pPr>
      <w:r>
        <w:t>§ 52 Abs. 2 GKG; bei mehreren Auflagen empfiehlt sich Streitwert nach Anlehnung an den Eilverfahrensstreitwert 7.500 EUR, also in der Hauptsache ueblicherweise 15.000 EUR (gerichtliche Praxis, doppelter Eilverfahrensstreitwert).</w:t>
      </w:r>
    </w:p>
    <w:p>
      <w:pPr>
        <w:pStyle w:val="Heading3"/>
      </w:pPr>
      <w:r>
        <w:rPr>
          <w:rFonts w:ascii="Times New Roman" w:hAnsi="Times New Roman"/>
        </w:rPr>
        <w:t>E. Beauftragung</w:t>
      </w:r>
    </w:p>
    <w:p>
      <w:pPr>
        <w:jc w:val="left"/>
      </w:pPr>
      <w:r>
        <w:t>Die Mandantin hat in der Vorstandssitzung vom 19.06.2026 (Vermerk separat) die Erhebung der Fortsetzungsfeststellungsklage einstimmig beschlossen. Beauftragung damit erteilt; Kostenrisiko ist mit der Rechtschutzversicherung der Initiative (ROLAND Police Nr. 187-2019-44-2261) abgedeckt; Deckungszusage steht aus (Anfrage am 19.06.2026 herausgegangen).</w:t>
      </w:r>
    </w:p>
    <w:p>
      <w:pPr>
        <w:pStyle w:val="Heading2"/>
      </w:pPr>
      <w:r>
        <w:rPr>
          <w:rFonts w:ascii="Times New Roman" w:hAnsi="Times New Roman"/>
        </w:rPr>
        <w:t>Naechste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Deckungszusage ROLAND einholen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28.06.2026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entwerfen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Anhoerung Mandantenvorstand zur Klageschrift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Initiative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Klageeinreichung beim VG Cottbus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31.07.2026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Klagezustellung an Land Brandenburg ueber 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Cottbus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t xml:space="preserve">Klage gegen die Auflagen 1, 2, 4, 5, 6, 8 ist nach erledigung im Eilverfahren in der Hauptsache </w:t>
      </w:r>
      <w:r>
        <w:rPr>
          <w:b/>
        </w:rPr>
        <w:t>noch nicht entschieden</w:t>
      </w:r>
      <w:r>
        <w:t xml:space="preserve"> — daher Fortsetzungsfeststellungsklage zwingend.</w:t>
      </w:r>
    </w:p>
    <w:p>
      <w:pPr>
        <w:pStyle w:val="ListBullet"/>
      </w:pPr>
      <w:r>
        <w:t>Beschwerde nach § 146 VwGO ist mit Verzicht der Antragsgegnerin (Aktenstueck 16) ausgeschlossen; Eilbeschluss ist rechtskraeftig.</w:t>
      </w:r>
    </w:p>
    <w:p>
      <w:pPr>
        <w:pStyle w:val="ListBullet"/>
      </w:pPr>
      <w:r>
        <w:t>Querbezug zu BVerfG-Rechtsprechung: Brokdorf BVerfGE 69, 315; Sitzblockaden BVerfGE 87, 399; Versammlungstypische Aufzuege BVerfGE 104, 92.</w:t>
      </w:r>
    </w:p>
    <w:p>
      <w:pPr>
        <w:jc w:val="left"/>
      </w:pPr>
      <w:r>
        <w:rPr>
          <w:b/>
        </w:rPr>
        <w:t>Verfasst von:</w:t>
      </w:r>
      <w:r>
        <w:t xml:space="preserve"> RAin Dr. Friederike Hesselmann-Sauerbruch, 18.06.2026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