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Verhaeltnismaessigkeitspruefung als Klausurspur — Auflagen Polizeiverfuegung Forst</w:t>
      </w:r>
    </w:p>
    <w:p>
      <w:pPr>
        <w:jc w:val="left"/>
      </w:pPr>
      <w:r>
        <w:rPr>
          <w:b/>
        </w:rPr>
        <w:t>Verwender:</w:t>
      </w:r>
      <w:r>
        <w:t xml:space="preserve"> RAin Hesselmann-Sauerbruch, im Plugin </w:t>
      </w:r>
      <w:r>
        <w:t>verhaeltnismaessigkeitspruefer</w:t>
      </w:r>
      <w:r>
        <w:t xml:space="preserve"> an LausitzStorage-Klausurfall angelehnt</w:t>
      </w:r>
    </w:p>
    <w:p>
      <w:pPr>
        <w:jc w:val="left"/>
      </w:pPr>
      <w:r>
        <w:rPr>
          <w:b/>
        </w:rPr>
        <w:t>Datum:</w:t>
      </w:r>
      <w:r>
        <w:t xml:space="preserve"> 16.06.2026 (Tag vor Versammlung; bewusst ohne Kenntnis des spaeteren Versammlungserfolgs verfasst)</w:t>
      </w:r>
    </w:p>
    <w:p>
      <w:pPr>
        <w:jc w:val="left"/>
      </w:pPr>
      <w:r>
        <w:rPr>
          <w:b/>
        </w:rPr>
        <w:t>Funktion:</w:t>
      </w:r>
      <w:r>
        <w:t xml:space="preserve"> Pruefspur fuer die vierstufige Verhaeltnismaessigkeitspruefung der einzelnen Auflagen, in Klausur-Sturheit; zugleich Vorbereitung des Eilbeschlusses (Aktenstueck 14) und der Fortsetzungsfeststellungsklage (Aktenstueck 24).</w:t>
      </w:r>
    </w:p>
    <w:p>
      <w:pPr>
        <w:pStyle w:val="Heading2"/>
      </w:pPr>
      <w:r>
        <w:rPr>
          <w:rFonts w:ascii="Times New Roman" w:hAnsi="Times New Roman"/>
        </w:rPr>
        <w:t>I. Auflage 1 — Standortverlegung 4,2 km ausserhalb Forst</w:t>
      </w:r>
    </w:p>
    <w:p>
      <w:pPr>
        <w:pStyle w:val="Heading3"/>
      </w:pPr>
      <w:r>
        <w:rPr>
          <w:rFonts w:ascii="Times New Roman" w:hAnsi="Times New Roman"/>
        </w:rPr>
        <w:t>Legitimer Zweck</w:t>
      </w:r>
    </w:p>
    <w:p>
      <w:pPr>
        <w:jc w:val="left"/>
      </w:pPr>
      <w:r>
        <w:t>Schutz des Brunhildebrunnens (Denkmal) vor Beschaedigung durch Versammlung; Aufrechterhaltung der oeffentlichen Sicherheit.</w:t>
      </w:r>
    </w:p>
    <w:p>
      <w:pPr>
        <w:pStyle w:val="Heading3"/>
      </w:pPr>
      <w:r>
        <w:rPr>
          <w:rFonts w:ascii="Times New Roman" w:hAnsi="Times New Roman"/>
        </w:rPr>
        <w:t>Geeignetheit</w:t>
      </w:r>
    </w:p>
    <w:p>
      <w:pPr>
        <w:jc w:val="left"/>
      </w:pPr>
      <w:r>
        <w:t xml:space="preserve">Eine Verlegung 4,2 km ausserhalb des Stadtkerns schliesst eine Beruehrung des Brunnens zwingend aus. </w:t>
      </w:r>
      <w:r>
        <w:rPr>
          <w:b/>
        </w:rPr>
        <w:t>Geeignet, aber</w:t>
      </w:r>
      <w:r>
        <w:t>: die Polizeiverfuegung erlaeutert die konkrete Gefahrenquelle nicht; das Schreiben der Unteren Denkmalbehoerde nennt nur einen "verbesserungswuerdigen Erhaltungszustand", aber keine versammlungsspezifischen Risiken.</w:t>
      </w:r>
    </w:p>
    <w:p>
      <w:pPr>
        <w:pStyle w:val="Heading3"/>
      </w:pPr>
      <w:r>
        <w:rPr>
          <w:rFonts w:ascii="Times New Roman" w:hAnsi="Times New Roman"/>
        </w:rPr>
        <w:t>Erforderlichkeit</w:t>
      </w:r>
    </w:p>
    <w:p>
      <w:pPr>
        <w:jc w:val="left"/>
      </w:pPr>
      <w:r>
        <w:rPr>
          <w:b/>
        </w:rPr>
        <w:t>Nicht erforderlich.</w:t>
      </w:r>
      <w:r>
        <w:t xml:space="preserve"> Mildere und ebenso wirksame Mittel sind ersichtlich: Absperrgitter um den Brunnen (Standardmittel der Polizeibegleitung), Ordnergestellung durch die Initiative selbst (sie hat sechs Ordner gemeldet, mehr als § 18 VersG verlangt), Sichtkontrolle durch Beamte vor Ort. Die Standortverlegung schiesst weit ueber das Ziel hinaus.</w:t>
      </w:r>
    </w:p>
    <w:p>
      <w:pPr>
        <w:pStyle w:val="Heading3"/>
      </w:pPr>
      <w:r>
        <w:rPr>
          <w:rFonts w:ascii="Times New Roman" w:hAnsi="Times New Roman"/>
        </w:rPr>
        <w:t>Angemessenheit</w:t>
      </w:r>
    </w:p>
    <w:p>
      <w:pPr>
        <w:jc w:val="left"/>
      </w:pPr>
      <w:r>
        <w:t xml:space="preserve">Selbst wenn man die Erforderlichkeit unterstellt, waere die Verlegung 4,2 km ausserhalb gravierend unangemessen. Der Brunhildebrunnen ist </w:t>
      </w:r>
      <w:r>
        <w:rPr>
          <w:b/>
        </w:rPr>
        <w:t>konstitutiver Bezugspunkt</w:t>
      </w:r>
      <w:r>
        <w:t xml:space="preserve"> der Versammlung; eine Versammlung 4,2 km ausserhalb hat keinen Adressaten und keine Wirkung. Auflage 1 kommt einem </w:t>
      </w:r>
      <w:r>
        <w:rPr>
          <w:b/>
        </w:rPr>
        <w:t>Versammlungsverbot gleich</w:t>
      </w:r>
      <w:r>
        <w:t xml:space="preserve"> (BVerfGE 69, 315 [343 f.] Brokdorf; BVerfG-Beschluss vom 14.05.1985, Brunngarten).</w:t>
      </w:r>
    </w:p>
    <w:p>
      <w:pPr>
        <w:jc w:val="left"/>
      </w:pPr>
      <w:r>
        <w:rPr>
          <w:b/>
        </w:rPr>
        <w:t>Ergebnis:</w:t>
      </w:r>
      <w:r>
        <w:t xml:space="preserve"> rechtswidrig.</w:t>
      </w:r>
    </w:p>
    <w:p>
      <w:pPr>
        <w:pStyle w:val="Heading2"/>
      </w:pPr>
      <w:r>
        <w:rPr>
          <w:rFonts w:ascii="Times New Roman" w:hAnsi="Times New Roman"/>
        </w:rPr>
        <w:t>II. Auflage 2 — Aufzugsverbot in der Cottbuser Strasse</w:t>
      </w:r>
    </w:p>
    <w:p>
      <w:pPr>
        <w:pStyle w:val="Heading3"/>
      </w:pPr>
      <w:r>
        <w:rPr>
          <w:rFonts w:ascii="Times New Roman" w:hAnsi="Times New Roman"/>
        </w:rPr>
        <w:t>Legitimer Zweck</w:t>
      </w:r>
    </w:p>
    <w:p>
      <w:pPr>
        <w:jc w:val="left"/>
      </w:pPr>
      <w:r>
        <w:t>Sicherstellung des Linienverkehrs (Buslinien 871, 873) zwischen 12:00 und 14:00 Uhr.</w:t>
      </w:r>
    </w:p>
    <w:p>
      <w:pPr>
        <w:pStyle w:val="Heading3"/>
      </w:pPr>
      <w:r>
        <w:rPr>
          <w:rFonts w:ascii="Times New Roman" w:hAnsi="Times New Roman"/>
        </w:rPr>
        <w:t>Geeignetheit</w:t>
      </w:r>
    </w:p>
    <w:p>
      <w:pPr>
        <w:jc w:val="left"/>
      </w:pPr>
      <w:r>
        <w:t xml:space="preserve">Ein Verbot des Aufzugs schliesst Konflikte mit dem Linienverkehr aus. </w:t>
      </w:r>
      <w:r>
        <w:rPr>
          <w:b/>
        </w:rPr>
        <w:t>Geeignet</w:t>
      </w:r>
      <w:r>
        <w:t>.</w:t>
      </w:r>
    </w:p>
    <w:p>
      <w:pPr>
        <w:pStyle w:val="Heading3"/>
      </w:pPr>
      <w:r>
        <w:rPr>
          <w:rFonts w:ascii="Times New Roman" w:hAnsi="Times New Roman"/>
        </w:rPr>
        <w:t>Erforderlichkeit</w:t>
      </w:r>
    </w:p>
    <w:p>
      <w:pPr>
        <w:jc w:val="left"/>
      </w:pPr>
      <w:r>
        <w:rPr>
          <w:b/>
        </w:rPr>
        <w:t>Nicht erforderlich.</w:t>
      </w:r>
      <w:r>
        <w:t xml:space="preserve"> Die Polizei Spree-Neisse hat beim Klimastreik vom 22.09.2023 unter vergleichbaren Bedingungen den Linienverkehr 871/873 ueber Bahnhofstrasse umgeleitet, ohne dass die Versammlung dadurch unmoeglich wurde. Eine Umleitung des Linienverkehrs ist das mildere und gleich wirksame Mittel. Die Polizeiverfuegung erwaehnt die Praxis vom 22.09.2023 mit keinem Wort.</w:t>
      </w:r>
    </w:p>
    <w:p>
      <w:pPr>
        <w:pStyle w:val="Heading3"/>
      </w:pPr>
      <w:r>
        <w:rPr>
          <w:rFonts w:ascii="Times New Roman" w:hAnsi="Times New Roman"/>
        </w:rPr>
        <w:t>Angemessenheit</w:t>
      </w:r>
    </w:p>
    <w:p>
      <w:pPr>
        <w:jc w:val="left"/>
      </w:pPr>
      <w:r>
        <w:t>Auch unterstellt erforderlich, waere ein generelles Aufzugsverbot unangemessen. Aufzuege gehoeren zum versammlungstypischen Repertoire (BVerfGE 87, 399; BVerfGE 104, 92). Das pauschale Verbot beschraenkt die Versammlungsfreiheit unverhaeltnismaessig.</w:t>
      </w:r>
    </w:p>
    <w:p>
      <w:pPr>
        <w:jc w:val="left"/>
      </w:pPr>
      <w:r>
        <w:rPr>
          <w:b/>
        </w:rPr>
        <w:t>Ergebnis:</w:t>
      </w:r>
      <w:r>
        <w:t xml:space="preserve"> rechtswidrig.</w:t>
      </w:r>
    </w:p>
    <w:p>
      <w:pPr>
        <w:pStyle w:val="Heading2"/>
      </w:pPr>
      <w:r>
        <w:rPr>
          <w:rFonts w:ascii="Times New Roman" w:hAnsi="Times New Roman"/>
        </w:rPr>
        <w:t>III. Auflage 4 — Schallpegelbegrenzung 65 dB(A) Mittel</w:t>
      </w:r>
    </w:p>
    <w:p>
      <w:pPr>
        <w:pStyle w:val="Heading3"/>
      </w:pPr>
      <w:r>
        <w:rPr>
          <w:rFonts w:ascii="Times New Roman" w:hAnsi="Times New Roman"/>
        </w:rPr>
        <w:t>Legitimer Zweck</w:t>
      </w:r>
    </w:p>
    <w:p>
      <w:pPr>
        <w:jc w:val="left"/>
      </w:pPr>
      <w:r>
        <w:t>Schutz der Anwohner Berliner Strasse 47 vor uebermaessigen Geraeuschpegeln.</w:t>
      </w:r>
    </w:p>
    <w:p>
      <w:pPr>
        <w:pStyle w:val="Heading3"/>
      </w:pPr>
      <w:r>
        <w:rPr>
          <w:rFonts w:ascii="Times New Roman" w:hAnsi="Times New Roman"/>
        </w:rPr>
        <w:t>Geeignetheit</w:t>
      </w:r>
    </w:p>
    <w:p>
      <w:pPr>
        <w:jc w:val="left"/>
      </w:pPr>
      <w:r>
        <w:t xml:space="preserve">Eine starre Begrenzung auf 65 dB(A) Mittel reduziert die Geraeuschbelastung. </w:t>
      </w:r>
      <w:r>
        <w:rPr>
          <w:b/>
        </w:rPr>
        <w:t>Geeignet</w:t>
      </w:r>
      <w:r>
        <w:t>.</w:t>
      </w:r>
    </w:p>
    <w:p>
      <w:pPr>
        <w:pStyle w:val="Heading3"/>
      </w:pPr>
      <w:r>
        <w:rPr>
          <w:rFonts w:ascii="Times New Roman" w:hAnsi="Times New Roman"/>
        </w:rPr>
        <w:t>Erforderlichkeit</w:t>
      </w:r>
    </w:p>
    <w:p>
      <w:pPr>
        <w:jc w:val="left"/>
      </w:pPr>
      <w:r>
        <w:t xml:space="preserve">Nach dem Schallgutachten Burgkrieger (Aktenstueck 10, TUEV Nord) ist 65 dB(A) Mittel bei einer Versammlung dieser Groesse </w:t>
      </w:r>
      <w:r>
        <w:rPr>
          <w:b/>
        </w:rPr>
        <w:t>praktisch nicht einzuhalten</w:t>
      </w:r>
      <w:r>
        <w:t xml:space="preserve">. Mildere Mittel: eine </w:t>
      </w:r>
      <w:r>
        <w:rPr>
          <w:b/>
        </w:rPr>
        <w:t>versammlungstypische Pegelhoehe</w:t>
      </w:r>
      <w:r>
        <w:t xml:space="preserve"> wie 82 dB(A) Mittel mit kurzzeitigen Spitzen bis 90 dB(A) (so OVG Berlin-Brandenburg OVG 1 S 18/23). Damit ist die starre 65-dB-Grenze </w:t>
      </w:r>
      <w:r>
        <w:rPr>
          <w:b/>
        </w:rPr>
        <w:t>teilrechtswidrig</w:t>
      </w:r>
      <w:r>
        <w:t>.</w:t>
      </w:r>
    </w:p>
    <w:p>
      <w:pPr>
        <w:pStyle w:val="Heading3"/>
      </w:pPr>
      <w:r>
        <w:rPr>
          <w:rFonts w:ascii="Times New Roman" w:hAnsi="Times New Roman"/>
        </w:rPr>
        <w:t>Angemessenheit</w:t>
      </w:r>
    </w:p>
    <w:p>
      <w:pPr>
        <w:jc w:val="left"/>
      </w:pPr>
      <w:r>
        <w:t>Bei abwaegender Betrachtung schlaegt das Interesse der Versammlungsfreiheit (Art. 8 GG) das einzelne Anwohnerinteresse (Berliner Strasse 47, gesundheitlich beeintraechtigte Mieterin) durchschnittlich. Eine 82-dB-Grenze waere angemessen.</w:t>
      </w:r>
    </w:p>
    <w:p>
      <w:pPr>
        <w:jc w:val="left"/>
      </w:pPr>
      <w:r>
        <w:rPr>
          <w:b/>
        </w:rPr>
        <w:t>Ergebnis:</w:t>
      </w:r>
      <w:r>
        <w:t xml:space="preserve"> teilrechtswidrig (65 dB(A) ist zu streng).</w:t>
      </w:r>
    </w:p>
    <w:p>
      <w:pPr>
        <w:pStyle w:val="Heading2"/>
      </w:pPr>
      <w:r>
        <w:rPr>
          <w:rFonts w:ascii="Times New Roman" w:hAnsi="Times New Roman"/>
        </w:rPr>
        <w:t>IV. Auflage 5 — Verkuerzung der Versammlungsdauer 14:00-17:00</w:t>
      </w:r>
    </w:p>
    <w:p>
      <w:pPr>
        <w:pStyle w:val="Heading3"/>
      </w:pPr>
      <w:r>
        <w:rPr>
          <w:rFonts w:ascii="Times New Roman" w:hAnsi="Times New Roman"/>
        </w:rPr>
        <w:t>Legitimer Zweck</w:t>
      </w:r>
    </w:p>
    <w:p>
      <w:pPr>
        <w:jc w:val="left"/>
      </w:pPr>
      <w:r>
        <w:t>Eindaemmung von Eskalationsrisiken am spaeten Nachmittag.</w:t>
      </w:r>
    </w:p>
    <w:p>
      <w:pPr>
        <w:pStyle w:val="Heading3"/>
      </w:pPr>
      <w:r>
        <w:rPr>
          <w:rFonts w:ascii="Times New Roman" w:hAnsi="Times New Roman"/>
        </w:rPr>
        <w:t>Geeignetheit</w:t>
      </w:r>
    </w:p>
    <w:p>
      <w:pPr>
        <w:jc w:val="left"/>
      </w:pPr>
      <w:r>
        <w:t xml:space="preserve">Verkuerzung der Versammlungsdauer um 50 % begrenzt das zeitliche Risikofenster. </w:t>
      </w:r>
      <w:r>
        <w:rPr>
          <w:b/>
        </w:rPr>
        <w:t>Geeignet</w:t>
      </w:r>
      <w:r>
        <w:t>.</w:t>
      </w:r>
    </w:p>
    <w:p>
      <w:pPr>
        <w:pStyle w:val="Heading3"/>
      </w:pPr>
      <w:r>
        <w:rPr>
          <w:rFonts w:ascii="Times New Roman" w:hAnsi="Times New Roman"/>
        </w:rPr>
        <w:t>Erforderlichkeit</w:t>
      </w:r>
    </w:p>
    <w:p>
      <w:pPr>
        <w:jc w:val="left"/>
      </w:pPr>
      <w:r>
        <w:rPr>
          <w:b/>
        </w:rPr>
        <w:t>Nicht erforderlich.</w:t>
      </w:r>
      <w:r>
        <w:t xml:space="preserve"> Die Eskalationsannahme ist abstrakt; konkrete Anhaltspunkte gerade fuer die Stunden 17:00-18:00 fehlen. Auflagen 3 (Pyrotechnikverbot) und 7 (Anwesenheitspflicht Versammlungsleiter) sichern die ordnungsgemaesse Durchfuehrung ueber die volle Dauer hinreichend.</w:t>
      </w:r>
    </w:p>
    <w:p>
      <w:pPr>
        <w:pStyle w:val="Heading3"/>
      </w:pPr>
      <w:r>
        <w:rPr>
          <w:rFonts w:ascii="Times New Roman" w:hAnsi="Times New Roman"/>
        </w:rPr>
        <w:t>Angemessenheit</w:t>
      </w:r>
    </w:p>
    <w:p>
      <w:pPr>
        <w:jc w:val="left"/>
      </w:pPr>
      <w:r>
        <w:t xml:space="preserve">Verkuerzung um 50 % ist tiefer Eingriff in die Gestaltungsfreiheit der Versammlung. Bei nur abstrakter Eskalationsannahme klar </w:t>
      </w:r>
      <w:r>
        <w:rPr>
          <w:b/>
        </w:rPr>
        <w:t>unangemessen</w:t>
      </w:r>
      <w:r>
        <w:t>.</w:t>
      </w:r>
    </w:p>
    <w:p>
      <w:pPr>
        <w:jc w:val="left"/>
      </w:pPr>
      <w:r>
        <w:rPr>
          <w:b/>
        </w:rPr>
        <w:t>Ergebnis:</w:t>
      </w:r>
      <w:r>
        <w:t xml:space="preserve"> rechtswidrig.</w:t>
      </w:r>
    </w:p>
    <w:p>
      <w:pPr>
        <w:pStyle w:val="Heading2"/>
      </w:pPr>
      <w:r>
        <w:rPr>
          <w:rFonts w:ascii="Times New Roman" w:hAnsi="Times New Roman"/>
        </w:rPr>
        <w:t>V. Auflage 6 — Verbot der Erdaushebungs-Performance</w:t>
      </w:r>
    </w:p>
    <w:p>
      <w:pPr>
        <w:pStyle w:val="Heading3"/>
      </w:pPr>
      <w:r>
        <w:rPr>
          <w:rFonts w:ascii="Times New Roman" w:hAnsi="Times New Roman"/>
        </w:rPr>
        <w:t>Legitimer Zweck</w:t>
      </w:r>
    </w:p>
    <w:p>
      <w:pPr>
        <w:jc w:val="left"/>
      </w:pPr>
      <w:r>
        <w:t>Schutz des oeffentlichen Pflasters (Sachbeschaedigung); Verhinderung von Aufrufen zu Sachbeschaedigung an Tagebau-Infrastruktur.</w:t>
      </w:r>
    </w:p>
    <w:p>
      <w:pPr>
        <w:pStyle w:val="Heading3"/>
      </w:pPr>
      <w:r>
        <w:rPr>
          <w:rFonts w:ascii="Times New Roman" w:hAnsi="Times New Roman"/>
        </w:rPr>
        <w:t>Geeignetheit</w:t>
      </w:r>
    </w:p>
    <w:p>
      <w:pPr>
        <w:jc w:val="left"/>
      </w:pPr>
      <w:r>
        <w:t xml:space="preserve">Verbot der Performance schliesst beide Risiken aus. </w:t>
      </w:r>
      <w:r>
        <w:rPr>
          <w:b/>
        </w:rPr>
        <w:t>Geeignet</w:t>
      </w:r>
      <w:r>
        <w:t>.</w:t>
      </w:r>
    </w:p>
    <w:p>
      <w:pPr>
        <w:pStyle w:val="Heading3"/>
      </w:pPr>
      <w:r>
        <w:rPr>
          <w:rFonts w:ascii="Times New Roman" w:hAnsi="Times New Roman"/>
        </w:rPr>
        <w:t>Erforderlichkeit</w:t>
      </w:r>
    </w:p>
    <w:p>
      <w:pPr>
        <w:jc w:val="left"/>
      </w:pPr>
      <w:r>
        <w:rPr>
          <w:b/>
        </w:rPr>
        <w:t>Nicht erforderlich.</w:t>
      </w:r>
      <w:r>
        <w:t xml:space="preserve"> Die Performance findet ausschliesslich auf vorbereiteten Holzpaletten statt; das oeffentliche Pflaster wird nicht beruehrt (Performance-Konzept Aktenstueck 09). Auflage 3 (Pyrotechnikverbot) und Polizeibegleitung sichern den ordnungsgemaessen Ablauf. Das mildere Mittel waere die </w:t>
      </w:r>
      <w:r>
        <w:rPr>
          <w:b/>
        </w:rPr>
        <w:t>Beobachtung</w:t>
      </w:r>
      <w:r>
        <w:t xml:space="preserve"> der Performance durch die Polizei mit Eingriff erst bei tatsaechlichem Aufruf zu Sachbeschaedigung.</w:t>
      </w:r>
    </w:p>
    <w:p>
      <w:pPr>
        <w:pStyle w:val="Heading3"/>
      </w:pPr>
      <w:r>
        <w:rPr>
          <w:rFonts w:ascii="Times New Roman" w:hAnsi="Times New Roman"/>
        </w:rPr>
        <w:t>Angemessenheit</w:t>
      </w:r>
    </w:p>
    <w:p>
      <w:pPr>
        <w:jc w:val="left"/>
      </w:pPr>
      <w:r>
        <w:t xml:space="preserve">Selbst wenn der Aufruf zu Sachbeschaedigung an Tagebau-Infrastruktur in der Performance enthalten waere — was die Polizeiverfuegung als </w:t>
      </w:r>
      <w:r>
        <w:rPr>
          <w:b/>
        </w:rPr>
        <w:t>Gefahrenvermutung dritter Stufe</w:t>
      </w:r>
      <w:r>
        <w:t xml:space="preserve"> unterstellt —, waere der Eingriff in die Versammlungsfreiheit (Art. 8 GG) und die Kunstfreiheit (Art. 5 Abs. 3 GG) gravierend. Versammlungsfeindliche Auflagen koennen nur bei konkreter und greifbarer Gefahr ergehen (Brokdorf BVerfGE 69, 315; BVerfG 1 BvR 1391/04). Die vorliegende Vermutung dritter Stufe traegt nicht.</w:t>
      </w:r>
    </w:p>
    <w:p>
      <w:pPr>
        <w:jc w:val="left"/>
      </w:pPr>
      <w:r>
        <w:rPr>
          <w:b/>
        </w:rPr>
        <w:t>Ergebnis:</w:t>
      </w:r>
      <w:r>
        <w:t xml:space="preserve"> rechtswidrig.</w:t>
      </w:r>
    </w:p>
    <w:p>
      <w:pPr>
        <w:pStyle w:val="Heading2"/>
      </w:pPr>
      <w:r>
        <w:rPr>
          <w:rFonts w:ascii="Times New Roman" w:hAnsi="Times New Roman"/>
        </w:rPr>
        <w:t>VI. Auflage 8 — Drei Ordner mit Fuehrungszeugnis</w:t>
      </w:r>
    </w:p>
    <w:p>
      <w:pPr>
        <w:pStyle w:val="Heading3"/>
      </w:pPr>
      <w:r>
        <w:rPr>
          <w:rFonts w:ascii="Times New Roman" w:hAnsi="Times New Roman"/>
        </w:rPr>
        <w:t>Legitimer Zweck</w:t>
      </w:r>
    </w:p>
    <w:p>
      <w:pPr>
        <w:jc w:val="left"/>
      </w:pPr>
      <w:r>
        <w:t>Sicherstellung, dass Ordner zuverlaessig sind.</w:t>
      </w:r>
    </w:p>
    <w:p>
      <w:pPr>
        <w:pStyle w:val="Heading3"/>
      </w:pPr>
      <w:r>
        <w:rPr>
          <w:rFonts w:ascii="Times New Roman" w:hAnsi="Times New Roman"/>
        </w:rPr>
        <w:t>Geeignetheit</w:t>
      </w:r>
    </w:p>
    <w:p>
      <w:pPr>
        <w:jc w:val="left"/>
      </w:pPr>
      <w:r>
        <w:t>Verbleibt offen — Fuehrungszeugnis stellt keine versammlungsbezogene Eignung dar.</w:t>
      </w:r>
    </w:p>
    <w:p>
      <w:pPr>
        <w:pStyle w:val="Heading3"/>
      </w:pPr>
      <w:r>
        <w:rPr>
          <w:rFonts w:ascii="Times New Roman" w:hAnsi="Times New Roman"/>
        </w:rPr>
        <w:t>Erforderlichkeit</w:t>
      </w:r>
    </w:p>
    <w:p>
      <w:pPr>
        <w:jc w:val="left"/>
      </w:pPr>
      <w:r>
        <w:rPr>
          <w:b/>
        </w:rPr>
        <w:t>Nicht erforderlich.</w:t>
      </w:r>
      <w:r>
        <w:t xml:space="preserve"> § 18 VersG kennt keine Fuehrungszeugnispflicht fuer Ordner. Das brandenburgische Versammlungsgesetz enthaelt ebenfalls keine entsprechende Regelung. </w:t>
      </w:r>
      <w:r>
        <w:rPr>
          <w:b/>
        </w:rPr>
        <w:t>Es fehlt die Rechtsgrundlage</w:t>
      </w:r>
      <w:r>
        <w:t>.</w:t>
      </w:r>
    </w:p>
    <w:p>
      <w:pPr>
        <w:pStyle w:val="Heading3"/>
      </w:pPr>
      <w:r>
        <w:rPr>
          <w:rFonts w:ascii="Times New Roman" w:hAnsi="Times New Roman"/>
        </w:rPr>
        <w:t>Angemessenheit</w:t>
      </w:r>
    </w:p>
    <w:p>
      <w:pPr>
        <w:jc w:val="left"/>
      </w:pPr>
      <w:r>
        <w:t>Ein Eingriff ohne Rechtsgrundlage ist immer unverhaeltnismaessig.</w:t>
      </w:r>
    </w:p>
    <w:p>
      <w:pPr>
        <w:jc w:val="left"/>
      </w:pPr>
      <w:r>
        <w:rPr>
          <w:b/>
        </w:rPr>
        <w:t>Ergebnis:</w:t>
      </w:r>
      <w:r>
        <w:t xml:space="preserve"> rechtswidrig (Rechtsgrundlagenmangel).</w:t>
      </w:r>
    </w:p>
    <w:p>
      <w:pPr>
        <w:pStyle w:val="Heading2"/>
      </w:pPr>
      <w:r>
        <w:rPr>
          <w:rFonts w:ascii="Times New Roman" w:hAnsi="Times New Roman"/>
        </w:rPr>
        <w:t>Zusammenfassung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Auflage</w:t>
            </w:r>
          </w:p>
        </w:tc>
        <w:tc>
          <w:tcPr>
            <w:tcW w:type="dxa" w:w="3024"/>
          </w:tcPr>
          <w:p>
            <w:r>
              <w:rPr>
                <w:rFonts w:ascii="Times New Roman" w:hAnsi="Times New Roman"/>
                <w:b/>
                <w:sz w:val="20"/>
              </w:rPr>
              <w:t>Stufe der Verhaeltnismaessigkeit, an der scheitert</w:t>
            </w:r>
          </w:p>
        </w:tc>
        <w:tc>
          <w:tcPr>
            <w:tcW w:type="dxa" w:w="3024"/>
          </w:tcPr>
          <w:p>
            <w:r>
              <w:rPr>
                <w:rFonts w:ascii="Times New Roman" w:hAnsi="Times New Roman"/>
                <w:b/>
                <w:sz w:val="20"/>
              </w:rPr>
              <w:t>Konsequenz</w:t>
            </w:r>
          </w:p>
        </w:tc>
      </w:tr>
      <w:tr>
        <w:tc>
          <w:tcPr>
            <w:tcW w:type="dxa" w:w="3024"/>
          </w:tcPr>
          <w:p>
            <w:r>
              <w:rPr>
                <w:rFonts w:ascii="Times New Roman" w:hAnsi="Times New Roman"/>
                <w:sz w:val="20"/>
              </w:rPr>
              <w:t>1</w:t>
            </w:r>
          </w:p>
        </w:tc>
        <w:tc>
          <w:tcPr>
            <w:tcW w:type="dxa" w:w="3024"/>
          </w:tcPr>
          <w:p>
            <w:r>
              <w:rPr>
                <w:rFonts w:ascii="Times New Roman" w:hAnsi="Times New Roman"/>
                <w:sz w:val="20"/>
              </w:rPr>
              <w:t>Erforderlichkeit + Angemessenheit</w:t>
            </w:r>
          </w:p>
        </w:tc>
        <w:tc>
          <w:tcPr>
            <w:tcW w:type="dxa" w:w="3024"/>
          </w:tcPr>
          <w:p>
            <w:r>
              <w:rPr>
                <w:rFonts w:ascii="Times New Roman" w:hAnsi="Times New Roman"/>
                <w:sz w:val="20"/>
              </w:rPr>
              <w:t>rechtswidrig</w:t>
            </w:r>
          </w:p>
        </w:tc>
      </w:tr>
      <w:tr>
        <w:tc>
          <w:tcPr>
            <w:tcW w:type="dxa" w:w="3024"/>
          </w:tcPr>
          <w:p>
            <w:r>
              <w:rPr>
                <w:rFonts w:ascii="Times New Roman" w:hAnsi="Times New Roman"/>
                <w:sz w:val="20"/>
              </w:rPr>
              <w:t>2</w:t>
            </w:r>
          </w:p>
        </w:tc>
        <w:tc>
          <w:tcPr>
            <w:tcW w:type="dxa" w:w="3024"/>
          </w:tcPr>
          <w:p>
            <w:r>
              <w:rPr>
                <w:rFonts w:ascii="Times New Roman" w:hAnsi="Times New Roman"/>
                <w:sz w:val="20"/>
              </w:rPr>
              <w:t>Erforderlichkeit</w:t>
            </w:r>
          </w:p>
        </w:tc>
        <w:tc>
          <w:tcPr>
            <w:tcW w:type="dxa" w:w="3024"/>
          </w:tcPr>
          <w:p>
            <w:r>
              <w:rPr>
                <w:rFonts w:ascii="Times New Roman" w:hAnsi="Times New Roman"/>
                <w:sz w:val="20"/>
              </w:rPr>
              <w:t>rechtswidrig</w:t>
            </w:r>
          </w:p>
        </w:tc>
      </w:tr>
      <w:tr>
        <w:tc>
          <w:tcPr>
            <w:tcW w:type="dxa" w:w="3024"/>
          </w:tcPr>
          <w:p>
            <w:r>
              <w:rPr>
                <w:rFonts w:ascii="Times New Roman" w:hAnsi="Times New Roman"/>
                <w:sz w:val="20"/>
              </w:rPr>
              <w:t>4</w:t>
            </w:r>
          </w:p>
        </w:tc>
        <w:tc>
          <w:tcPr>
            <w:tcW w:type="dxa" w:w="3024"/>
          </w:tcPr>
          <w:p>
            <w:r>
              <w:rPr>
                <w:rFonts w:ascii="Times New Roman" w:hAnsi="Times New Roman"/>
                <w:sz w:val="20"/>
              </w:rPr>
              <w:t>Erforderlichkeit (zu strenge Grenze)</w:t>
            </w:r>
          </w:p>
        </w:tc>
        <w:tc>
          <w:tcPr>
            <w:tcW w:type="dxa" w:w="3024"/>
          </w:tcPr>
          <w:p>
            <w:r>
              <w:rPr>
                <w:rFonts w:ascii="Times New Roman" w:hAnsi="Times New Roman"/>
                <w:sz w:val="20"/>
              </w:rPr>
              <w:t>teilrechtswidrig</w:t>
            </w:r>
          </w:p>
        </w:tc>
      </w:tr>
      <w:tr>
        <w:tc>
          <w:tcPr>
            <w:tcW w:type="dxa" w:w="3024"/>
          </w:tcPr>
          <w:p>
            <w:r>
              <w:rPr>
                <w:rFonts w:ascii="Times New Roman" w:hAnsi="Times New Roman"/>
                <w:sz w:val="20"/>
              </w:rPr>
              <w:t>5</w:t>
            </w:r>
          </w:p>
        </w:tc>
        <w:tc>
          <w:tcPr>
            <w:tcW w:type="dxa" w:w="3024"/>
          </w:tcPr>
          <w:p>
            <w:r>
              <w:rPr>
                <w:rFonts w:ascii="Times New Roman" w:hAnsi="Times New Roman"/>
                <w:sz w:val="20"/>
              </w:rPr>
              <w:t>Erforderlichkeit + Angemessenheit</w:t>
            </w:r>
          </w:p>
        </w:tc>
        <w:tc>
          <w:tcPr>
            <w:tcW w:type="dxa" w:w="3024"/>
          </w:tcPr>
          <w:p>
            <w:r>
              <w:rPr>
                <w:rFonts w:ascii="Times New Roman" w:hAnsi="Times New Roman"/>
                <w:sz w:val="20"/>
              </w:rPr>
              <w:t>rechtswidrig</w:t>
            </w:r>
          </w:p>
        </w:tc>
      </w:tr>
      <w:tr>
        <w:tc>
          <w:tcPr>
            <w:tcW w:type="dxa" w:w="3024"/>
          </w:tcPr>
          <w:p>
            <w:r>
              <w:rPr>
                <w:rFonts w:ascii="Times New Roman" w:hAnsi="Times New Roman"/>
                <w:sz w:val="20"/>
              </w:rPr>
              <w:t>6</w:t>
            </w:r>
          </w:p>
        </w:tc>
        <w:tc>
          <w:tcPr>
            <w:tcW w:type="dxa" w:w="3024"/>
          </w:tcPr>
          <w:p>
            <w:r>
              <w:rPr>
                <w:rFonts w:ascii="Times New Roman" w:hAnsi="Times New Roman"/>
                <w:sz w:val="20"/>
              </w:rPr>
              <w:t>Erforderlichkeit</w:t>
            </w:r>
          </w:p>
        </w:tc>
        <w:tc>
          <w:tcPr>
            <w:tcW w:type="dxa" w:w="3024"/>
          </w:tcPr>
          <w:p>
            <w:r>
              <w:rPr>
                <w:rFonts w:ascii="Times New Roman" w:hAnsi="Times New Roman"/>
                <w:sz w:val="20"/>
              </w:rPr>
              <w:t>rechtswidrig</w:t>
            </w:r>
          </w:p>
        </w:tc>
      </w:tr>
      <w:tr>
        <w:tc>
          <w:tcPr>
            <w:tcW w:type="dxa" w:w="3024"/>
          </w:tcPr>
          <w:p>
            <w:r>
              <w:rPr>
                <w:rFonts w:ascii="Times New Roman" w:hAnsi="Times New Roman"/>
                <w:sz w:val="20"/>
              </w:rPr>
              <w:t>8</w:t>
            </w:r>
          </w:p>
        </w:tc>
        <w:tc>
          <w:tcPr>
            <w:tcW w:type="dxa" w:w="3024"/>
          </w:tcPr>
          <w:p>
            <w:r>
              <w:rPr>
                <w:rFonts w:ascii="Times New Roman" w:hAnsi="Times New Roman"/>
                <w:sz w:val="20"/>
              </w:rPr>
              <w:t>Rechtsgrundlage fehlt</w:t>
            </w:r>
          </w:p>
        </w:tc>
        <w:tc>
          <w:tcPr>
            <w:tcW w:type="dxa" w:w="3024"/>
          </w:tcPr>
          <w:p>
            <w:r>
              <w:rPr>
                <w:rFonts w:ascii="Times New Roman" w:hAnsi="Times New Roman"/>
                <w:sz w:val="20"/>
              </w:rPr>
              <w:t>rechtswidrig</w:t>
            </w:r>
          </w:p>
        </w:tc>
      </w:tr>
    </w:tbl>
    <w:p>
      <w:pPr>
        <w:jc w:val="left"/>
      </w:pPr>
      <w:r>
        <w:rPr>
          <w:b/>
        </w:rPr>
        <w:t>Daraus folgt:</w:t>
      </w:r>
      <w:r>
        <w:t xml:space="preserve"> Auflagen 1, 2, 5, 6 und 8 sind unmittelbar aufzuheben; Auflage 4 ist auf 82 dB(A) Mittel mit Spitzen bis 90 dB(A) zu modifizieren.</w:t>
      </w:r>
    </w:p>
    <w:p>
      <w:pPr>
        <w:pStyle w:val="Heading2"/>
      </w:pPr>
      <w:r>
        <w:rPr>
          <w:rFonts w:ascii="Times New Roman" w:hAnsi="Times New Roman"/>
        </w:rPr>
        <w:t>Methodischer Hinweis</w:t>
      </w:r>
    </w:p>
    <w:p>
      <w:pPr>
        <w:jc w:val="left"/>
      </w:pPr>
      <w:r>
        <w:t xml:space="preserve">Diese Klausurspur folgt der Prinzipien-Pruefung des Plugin </w:t>
      </w:r>
      <w:r>
        <w:t>verhaeltnismaessigkeitspruefer</w:t>
      </w:r>
      <w:r>
        <w:t xml:space="preserve">. Sie ersetzt </w:t>
      </w:r>
      <w:r>
        <w:rPr>
          <w:b/>
        </w:rPr>
        <w:t>nicht</w:t>
      </w:r>
      <w:r>
        <w:t xml:space="preserve"> die Schriftsatz-Ausarbeitung; sie ist die Disziplinspur, die der schriftlichen Anwaltsverantwortung vorausgeht. Querverweis an Skill </w:t>
      </w:r>
      <w:r>
        <w:t>vierstufige-pruefung</w:t>
      </w:r>
      <w:r>
        <w:t xml:space="preserve"> und </w:t>
      </w:r>
      <w:r>
        <w:t>bverfg-polizeirecht-gefahrenprognose</w:t>
      </w:r>
      <w:r>
        <w:t>.</w:t>
      </w:r>
    </w:p>
    <w:p>
      <w:pPr>
        <w:jc w:val="left"/>
      </w:pPr>
      <w:r>
        <w:rPr>
          <w:b/>
        </w:rPr>
        <w:t>Verfasst von:</w:t>
      </w:r>
      <w:r>
        <w:t xml:space="preserve"> RAin Dr. Friederike Hesselmann-Sauerbruch, 16.06.2026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