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Auftragsnotiz</w:t>
      </w:r>
    </w:p>
    <w:p>
      <w:pPr>
        <w:pStyle w:val="Heading2"/>
      </w:pPr>
      <w:r>
        <w:rPr>
          <w:rFonts w:ascii="Times New Roman" w:hAnsi="Times New Roman"/>
        </w:rPr>
        <w:t>Kurzlage</w:t>
      </w:r>
    </w:p>
    <w:p>
      <w:pPr>
        <w:jc w:val="left"/>
      </w:pPr>
      <w:r>
        <w:t>Die Erbengemeinschaft von Lützow besitzt das frühere Mühlenflurstück an der alten Wusterhagener Chaussee. Der Bachlauf wurde nach alten Plänen mehrfach verlegt. In der Familienakte liegen ein schlecht gescannter Auszug aus einem preußischen Druck, eine spätere Transkription, ein handschriftlicher Vermerk des Urgroßvaters aus dem Jahr 1912 und ein moderner Grundbuchauszug. Die Mandantin will wissen, ob aus dem historischen Material heute noch etwas für einen Entschädigungs- oder Nachbarrechtsanspruch folgt.</w:t>
      </w:r>
    </w:p>
    <w:p>
      <w:pPr>
        <w:pStyle w:val="Heading2"/>
      </w:pPr>
      <w:r>
        <w:rPr>
          <w:rFonts w:ascii="Times New Roman" w:hAnsi="Times New Roman"/>
        </w:rPr>
        <w:t>Personen und Stellen</w:t>
      </w:r>
    </w:p>
    <w:p>
      <w:pPr>
        <w:pStyle w:val="ListBullet"/>
      </w:pPr>
      <w:r>
        <w:t>Clara von Lützow, Mandantin, Miteigentümerin des Mühlenflurstücks.</w:t>
      </w:r>
    </w:p>
    <w:p>
      <w:pPr>
        <w:pStyle w:val="ListBullet"/>
      </w:pPr>
      <w:r>
        <w:t>Stadt Wusterhagen, heute Unterhaltungspflichtige für den Grabenabschnitt.</w:t>
      </w:r>
    </w:p>
    <w:p>
      <w:pPr>
        <w:pStyle w:val="ListBullet"/>
      </w:pPr>
      <w:r>
        <w:t>Landesbetrieb Straßenwesen Nordmark, zuständig für die alte Chaussee und die neue Regenwasserführung.</w:t>
      </w:r>
    </w:p>
    <w:p>
      <w:pPr>
        <w:pStyle w:val="ListBullet"/>
      </w:pPr>
      <w:r>
        <w:t>Nachbarfamilie Bentheim, Eigentümer der tieferliegenden Wiese.</w:t>
      </w:r>
    </w:p>
    <w:p>
      <w:pPr>
        <w:pStyle w:val="ListBullet"/>
      </w:pPr>
      <w:r>
        <w:t>Heimatarchiv Wusterhagen, besitzt ein Foto des Mühlendamms von 1898.</w:t>
      </w:r>
    </w:p>
    <w:p>
      <w:pPr>
        <w:pStyle w:val="Heading2"/>
      </w:pPr>
      <w:r>
        <w:rPr>
          <w:rFonts w:ascii="Times New Roman" w:hAnsi="Times New Roman"/>
        </w:rPr>
        <w:t>Konflikt</w:t>
      </w:r>
    </w:p>
    <w:p>
      <w:pPr>
        <w:jc w:val="left"/>
      </w:pPr>
      <w:r>
        <w:t>Nach Starkregen im Februar 2026 staute sich Wasser an der alten Chaussee. Die Mandantin meint, die Ursache liege in einem Durchlass, der bereits in den 1890er Jahren wegen Chausseearbeiten verändert worden sei. Der Landkreis verweist auf heutiges Wasserrecht und lehnt eine Entschädigung ab. Der Großvater hatte in einem alten Vermerk notiert, das Landrecht kenne eine Art Ausgleich, wenn einzelne Eigentümer für das gemeine Wohl ein Sonderopfer tragen müssten.</w:t>
      </w:r>
    </w:p>
    <w:p>
      <w:pPr>
        <w:pStyle w:val="Heading2"/>
      </w:pPr>
      <w:r>
        <w:rPr>
          <w:rFonts w:ascii="Times New Roman" w:hAnsi="Times New Roman"/>
        </w:rPr>
        <w:t>Bearbeitungsauftrag</w:t>
      </w:r>
    </w:p>
    <w:p>
      <w:pPr>
        <w:pStyle w:val="ListNumber"/>
      </w:pPr>
      <w:r>
        <w:t>Sind die vorgelegten PrALR-Auszüge überhaupt zuverlässig lesbar?</w:t>
      </w:r>
    </w:p>
    <w:p>
      <w:pPr>
        <w:pStyle w:val="ListNumber"/>
      </w:pPr>
      <w:r>
        <w:t>Handelt es sich bei den beiden PDFs um denselben Text oder unterschiedliche Druck-/Ausgabestände?</w:t>
      </w:r>
    </w:p>
    <w:p>
      <w:pPr>
        <w:pStyle w:val="ListNumber"/>
      </w:pPr>
      <w:r>
        <w:t>Gibt es eine heutige Anspruchsbrücke über Aufopferung, enteignenden Eingriff, Wasserrecht oder Nachbarrecht?</w:t>
      </w:r>
    </w:p>
    <w:p>
      <w:pPr>
        <w:pStyle w:val="ListNumber"/>
      </w:pPr>
      <w:r>
        <w:t>Welche Rückfragen braucht man, bevor irgendetwas gegenüber der Behörde behauptet wird?</w:t>
      </w:r>
    </w:p>
    <w:p>
      <w:pPr>
        <w:pStyle w:val="Heading2"/>
      </w:pPr>
      <w:r>
        <w:rPr>
          <w:rFonts w:ascii="Times New Roman" w:hAnsi="Times New Roman"/>
        </w:rPr>
        <w:t>Erste Arbeitshypothese</w:t>
      </w:r>
    </w:p>
    <w:p>
      <w:pPr>
        <w:jc w:val="left"/>
      </w:pPr>
      <w:r>
        <w:t>Das PrALR ist hier wahrscheinlich nicht als unmittelbar geltendes Recht zu behandeln. Es kann aber als historische Quelle für Aufopferungsgedanken, Nachbarrechtslinien und alte wasser-/polizeirechtliche Ordnung relevant sein. Alles steht und fällt mit Ort, Jahr, konkreter Normstelle, heutiger Fortgeltung und aktueller Rechtsprechung.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