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Mühlenbesitzerin Adelheid Wusterhagen, Gutsherr von Rabenfels, Dorfgemeinde, königlicher Justizkommissar und Wasserbauinspektor.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 historischer Mühlenstau berührt Eigentum, Gemeinwohl, Nachbarschaft, Aufopferung und obrigkeitliche Genehmigung in einer ALR-Konstellation.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Preußisches Allgemeines Landrecht 1794/1804, Eigentums- und Nachbarrecht, Polizey- und Gemeinwohlgedanken, historische Auslegung.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