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Textzeugen und Editionsvergleich</w:t>
      </w:r>
    </w:p>
    <w:p>
      <w:pPr>
        <w:pStyle w:val="Heading2"/>
      </w:pPr>
      <w:r>
        <w:rPr>
          <w:rFonts w:ascii="Times New Roman" w:hAnsi="Times New Roman"/>
        </w:rPr>
        <w:t>Ausgangspunkt</w:t>
      </w:r>
    </w:p>
    <w:p>
      <w:pPr>
        <w:jc w:val="left"/>
      </w:pPr>
      <w:r>
        <w:t>In der Akte liegen zwei historische PDF-Fassungen, die aus unterschiedlichen bibliographischen Kontexten stammen. Sie dürfen nicht blind zusammengezogen werden. Schon ein anderer Druck, eine spätere Ausgabe, abweichende Bandzählung oder OCR-Fassung kann für Zitat, Paragraphenfolge und Seitenlogik relevant sein.</w:t>
      </w:r>
    </w:p>
    <w:p>
      <w:pPr>
        <w:pStyle w:val="Heading2"/>
      </w:pPr>
      <w:r>
        <w:rPr>
          <w:rFonts w:ascii="Times New Roman" w:hAnsi="Times New Roman"/>
        </w:rPr>
        <w:t>Zu prüfen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Punkt</w:t>
            </w:r>
          </w:p>
        </w:tc>
        <w:tc>
          <w:tcPr>
            <w:tcW w:type="dxa" w:w="3024"/>
          </w:tcPr>
          <w:p>
            <w:r>
              <w:rPr>
                <w:rFonts w:ascii="Times New Roman" w:hAnsi="Times New Roman"/>
                <w:b/>
                <w:sz w:val="20"/>
              </w:rPr>
              <w:t>Arbeitsfrage</w:t>
            </w:r>
          </w:p>
        </w:tc>
        <w:tc>
          <w:tcPr>
            <w:tcW w:type="dxa" w:w="3024"/>
          </w:tcPr>
          <w:p>
            <w:r>
              <w:rPr>
                <w:rFonts w:ascii="Times New Roman" w:hAnsi="Times New Roman"/>
                <w:b/>
                <w:sz w:val="20"/>
              </w:rPr>
              <w:t>Risiko</w:t>
            </w:r>
          </w:p>
        </w:tc>
      </w:tr>
      <w:tr>
        <w:tc>
          <w:tcPr>
            <w:tcW w:type="dxa" w:w="3024"/>
          </w:tcPr>
          <w:p>
            <w:r>
              <w:rPr>
                <w:rFonts w:ascii="Times New Roman" w:hAnsi="Times New Roman"/>
                <w:sz w:val="20"/>
              </w:rPr>
              <w:t>Titelblatt</w:t>
            </w:r>
          </w:p>
        </w:tc>
        <w:tc>
          <w:tcPr>
            <w:tcW w:type="dxa" w:w="3024"/>
          </w:tcPr>
          <w:p>
            <w:r>
              <w:rPr>
                <w:rFonts w:ascii="Times New Roman" w:hAnsi="Times New Roman"/>
                <w:sz w:val="20"/>
              </w:rPr>
              <w:t>Heißt es Allgemeines Landrecht oder Allgemeines Gesetzbuch?</w:t>
            </w:r>
          </w:p>
        </w:tc>
        <w:tc>
          <w:tcPr>
            <w:tcW w:type="dxa" w:w="3024"/>
          </w:tcPr>
          <w:p>
            <w:r>
              <w:rPr>
                <w:rFonts w:ascii="Times New Roman" w:hAnsi="Times New Roman"/>
                <w:sz w:val="20"/>
              </w:rPr>
              <w:t>Verwechslung 1792/1794</w:t>
            </w:r>
          </w:p>
        </w:tc>
      </w:tr>
      <w:tr>
        <w:tc>
          <w:tcPr>
            <w:tcW w:type="dxa" w:w="3024"/>
          </w:tcPr>
          <w:p>
            <w:r>
              <w:rPr>
                <w:rFonts w:ascii="Times New Roman" w:hAnsi="Times New Roman"/>
                <w:sz w:val="20"/>
              </w:rPr>
              <w:t>Jahr</w:t>
            </w:r>
          </w:p>
        </w:tc>
        <w:tc>
          <w:tcPr>
            <w:tcW w:type="dxa" w:w="3024"/>
          </w:tcPr>
          <w:p>
            <w:r>
              <w:rPr>
                <w:rFonts w:ascii="Times New Roman" w:hAnsi="Times New Roman"/>
                <w:sz w:val="20"/>
              </w:rPr>
              <w:t>1794, spätere Ausgabe oder moderner Reprint?</w:t>
            </w:r>
          </w:p>
        </w:tc>
        <w:tc>
          <w:tcPr>
            <w:tcW w:type="dxa" w:w="3024"/>
          </w:tcPr>
          <w:p>
            <w:r>
              <w:rPr>
                <w:rFonts w:ascii="Times New Roman" w:hAnsi="Times New Roman"/>
                <w:sz w:val="20"/>
              </w:rPr>
              <w:t>falscher Textstand</w:t>
            </w:r>
          </w:p>
        </w:tc>
      </w:tr>
      <w:tr>
        <w:tc>
          <w:tcPr>
            <w:tcW w:type="dxa" w:w="3024"/>
          </w:tcPr>
          <w:p>
            <w:r>
              <w:rPr>
                <w:rFonts w:ascii="Times New Roman" w:hAnsi="Times New Roman"/>
                <w:sz w:val="20"/>
              </w:rPr>
              <w:t>Band</w:t>
            </w:r>
          </w:p>
        </w:tc>
        <w:tc>
          <w:tcPr>
            <w:tcW w:type="dxa" w:w="3024"/>
          </w:tcPr>
          <w:p>
            <w:r>
              <w:rPr>
                <w:rFonts w:ascii="Times New Roman" w:hAnsi="Times New Roman"/>
                <w:sz w:val="20"/>
              </w:rPr>
              <w:t>Band 1 oder 2, Teil/Titel vollständig?</w:t>
            </w:r>
          </w:p>
        </w:tc>
        <w:tc>
          <w:tcPr>
            <w:tcW w:type="dxa" w:w="3024"/>
          </w:tcPr>
          <w:p>
            <w:r>
              <w:rPr>
                <w:rFonts w:ascii="Times New Roman" w:hAnsi="Times New Roman"/>
                <w:sz w:val="20"/>
              </w:rPr>
              <w:t>falsche Fundstelle</w:t>
            </w:r>
          </w:p>
        </w:tc>
      </w:tr>
      <w:tr>
        <w:tc>
          <w:tcPr>
            <w:tcW w:type="dxa" w:w="3024"/>
          </w:tcPr>
          <w:p>
            <w:r>
              <w:rPr>
                <w:rFonts w:ascii="Times New Roman" w:hAnsi="Times New Roman"/>
                <w:sz w:val="20"/>
              </w:rPr>
              <w:t>Schrift</w:t>
            </w:r>
          </w:p>
        </w:tc>
        <w:tc>
          <w:tcPr>
            <w:tcW w:type="dxa" w:w="3024"/>
          </w:tcPr>
          <w:p>
            <w:r>
              <w:rPr>
                <w:rFonts w:ascii="Times New Roman" w:hAnsi="Times New Roman"/>
                <w:sz w:val="20"/>
              </w:rPr>
              <w:t>Fraktur, Antiqua, OCR-Text?</w:t>
            </w:r>
          </w:p>
        </w:tc>
        <w:tc>
          <w:tcPr>
            <w:tcW w:type="dxa" w:w="3024"/>
          </w:tcPr>
          <w:p>
            <w:r>
              <w:rPr>
                <w:rFonts w:ascii="Times New Roman" w:hAnsi="Times New Roman"/>
                <w:sz w:val="20"/>
              </w:rPr>
              <w:t>Lesefehler, lange-s-Fehler</w:t>
            </w:r>
          </w:p>
        </w:tc>
      </w:tr>
      <w:tr>
        <w:tc>
          <w:tcPr>
            <w:tcW w:type="dxa" w:w="3024"/>
          </w:tcPr>
          <w:p>
            <w:r>
              <w:rPr>
                <w:rFonts w:ascii="Times New Roman" w:hAnsi="Times New Roman"/>
                <w:sz w:val="20"/>
              </w:rPr>
              <w:t>Fundstelle</w:t>
            </w:r>
          </w:p>
        </w:tc>
        <w:tc>
          <w:tcPr>
            <w:tcW w:type="dxa" w:w="3024"/>
          </w:tcPr>
          <w:p>
            <w:r>
              <w:rPr>
                <w:rFonts w:ascii="Times New Roman" w:hAnsi="Times New Roman"/>
                <w:sz w:val="20"/>
              </w:rPr>
              <w:t>Einleitung, Teil I, Teil II, Titel?</w:t>
            </w:r>
          </w:p>
        </w:tc>
        <w:tc>
          <w:tcPr>
            <w:tcW w:type="dxa" w:w="3024"/>
          </w:tcPr>
          <w:p>
            <w:r>
              <w:rPr>
                <w:rFonts w:ascii="Times New Roman" w:hAnsi="Times New Roman"/>
                <w:sz w:val="20"/>
              </w:rPr>
              <w:t>Scheinfundstelle</w:t>
            </w:r>
          </w:p>
        </w:tc>
      </w:tr>
      <w:tr>
        <w:tc>
          <w:tcPr>
            <w:tcW w:type="dxa" w:w="3024"/>
          </w:tcPr>
          <w:p>
            <w:r>
              <w:rPr>
                <w:rFonts w:ascii="Times New Roman" w:hAnsi="Times New Roman"/>
                <w:sz w:val="20"/>
              </w:rPr>
              <w:t>Digitalisat</w:t>
            </w:r>
          </w:p>
        </w:tc>
        <w:tc>
          <w:tcPr>
            <w:tcW w:type="dxa" w:w="3024"/>
          </w:tcPr>
          <w:p>
            <w:r>
              <w:rPr>
                <w:rFonts w:ascii="Times New Roman" w:hAnsi="Times New Roman"/>
                <w:sz w:val="20"/>
              </w:rPr>
              <w:t>Archive/staatsbibliothekarischer Scan/OCR?</w:t>
            </w:r>
          </w:p>
        </w:tc>
        <w:tc>
          <w:tcPr>
            <w:tcW w:type="dxa" w:w="3024"/>
          </w:tcPr>
          <w:p>
            <w:r>
              <w:rPr>
                <w:rFonts w:ascii="Times New Roman" w:hAnsi="Times New Roman"/>
                <w:sz w:val="20"/>
              </w:rPr>
              <w:t>unterschiedliche Seitennavigation</w:t>
            </w:r>
          </w:p>
        </w:tc>
      </w:tr>
    </w:tbl>
    <w:p>
      <w:pPr>
        <w:pStyle w:val="Heading2"/>
      </w:pPr>
      <w:r>
        <w:rPr>
          <w:rFonts w:ascii="Times New Roman" w:hAnsi="Times New Roman"/>
        </w:rPr>
        <w:t>Arbeitsregel</w:t>
      </w:r>
    </w:p>
    <w:p>
      <w:pPr>
        <w:jc w:val="left"/>
      </w:pPr>
      <w:r>
        <w:t>Bei jeder Aussage zum PrALR soll in der Arbeitsfassung stehen:</w:t>
      </w:r>
    </w:p>
    <w:p>
      <w:pPr>
        <w:pStyle w:val="ListBullet"/>
      </w:pPr>
      <w:r>
        <w:t>verwendeter Textzeuge,</w:t>
      </w:r>
    </w:p>
    <w:p>
      <w:pPr>
        <w:pStyle w:val="ListBullet"/>
      </w:pPr>
      <w:r>
        <w:t>Jahr und Band,</w:t>
      </w:r>
    </w:p>
    <w:p>
      <w:pPr>
        <w:pStyle w:val="ListBullet"/>
      </w:pPr>
      <w:r>
        <w:t>Systemstelle,</w:t>
      </w:r>
    </w:p>
    <w:p>
      <w:pPr>
        <w:pStyle w:val="ListBullet"/>
      </w:pPr>
      <w:r>
        <w:t>Sicherheit der Lesart,</w:t>
      </w:r>
    </w:p>
    <w:p>
      <w:pPr>
        <w:pStyle w:val="ListBullet"/>
      </w:pPr>
      <w:r>
        <w:t>ob eine zweite Quelle gegengeprüft wurde.</w:t>
      </w:r>
    </w:p>
    <w:p>
      <w:pPr>
        <w:pStyle w:val="Heading2"/>
      </w:pPr>
      <w:r>
        <w:rPr>
          <w:rFonts w:ascii="Times New Roman" w:hAnsi="Times New Roman"/>
        </w:rPr>
        <w:t>Beispiel für vorsichtige Formulierung</w:t>
      </w:r>
    </w:p>
    <w:p>
      <w:pPr>
        <w:jc w:val="left"/>
      </w:pPr>
      <w:r>
        <w:t>Nicht: "Das PrALR sagt eindeutig..."</w:t>
      </w:r>
    </w:p>
    <w:p>
      <w:pPr>
        <w:jc w:val="left"/>
      </w:pPr>
      <w:r>
        <w:t>Sondern: "Nach dem derzeit vorliegenden OCR-Auszug, der am Scan noch gegenzuprüfen ist, dürfte die einschlägige Stelle in der Einleitung bzw. im nachbarrechtlichen Umfeld zu suchen sein. Für eine heutige Anwendung muss zunächst geklärt werden, ob die Norm am Grundstücksort überhaupt fortgilt oder nur dogmengeschichtlich herangezogen wird."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