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Wusterhagen: Mühlenstau, Nachbarschaft und landrechtliche Ordnung“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historischer Mühlenstau berührt Eigentum, Gemeinwohl, Nachbarschaft, Aufopferung und obrigkeitliche Genehmigung in einer ALR-Konstellation.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Preußisches Allgemeines Landrecht 1794/1804, Eigentums- und Nachbarrecht, Polizey- und Gemeinwohlgedanken, historische Auslegung.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