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Wusterhagen: Mühlenstau, Nachbarschaft und landrechtliche Ordnung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Preußisches Allgemeines Landrecht 1794/1804, Eigentums- und Nachbarrecht, Polizey- und Gemeinwohlgedanken, historische Auslegung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